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57" w:rsidRDefault="00B153F6">
      <w:pPr>
        <w:overflowPunct w:val="0"/>
        <w:snapToGrid w:val="0"/>
        <w:spacing w:after="180" w:line="460" w:lineRule="exact"/>
        <w:rPr>
          <w:rFonts w:eastAsia="標楷體"/>
          <w:sz w:val="32"/>
        </w:rPr>
      </w:pPr>
      <w:bookmarkStart w:id="0" w:name="_GoBack"/>
      <w:bookmarkEnd w:id="0"/>
      <w:r>
        <w:rPr>
          <w:rFonts w:eastAsia="標楷體"/>
          <w:sz w:val="32"/>
        </w:rPr>
        <w:t>附表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平均年節電率計算說明</w:t>
      </w:r>
    </w:p>
    <w:tbl>
      <w:tblPr>
        <w:tblW w:w="8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  <w:left w:w="103" w:type="dxa"/>
          <w:bottom w:w="113" w:type="dxa"/>
        </w:tblCellMar>
        <w:tblLook w:val="0000" w:firstRow="0" w:lastRow="0" w:firstColumn="0" w:lastColumn="0" w:noHBand="0" w:noVBand="0"/>
      </w:tblPr>
      <w:tblGrid>
        <w:gridCol w:w="1190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73"/>
      </w:tblGrid>
      <w:tr w:rsidR="00434E57">
        <w:trPr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>
              <w:rPr>
                <w:rFonts w:eastAsia="標楷體"/>
              </w:rPr>
              <w:t>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105</w:t>
            </w:r>
            <w:r>
              <w:rPr>
                <w:rFonts w:eastAsia="標楷體"/>
              </w:rPr>
              <w:t>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113</w:t>
            </w:r>
            <w:r>
              <w:rPr>
                <w:rFonts w:eastAsia="標楷體"/>
              </w:rPr>
              <w:t>年</w:t>
            </w:r>
          </w:p>
        </w:tc>
      </w:tr>
      <w:tr w:rsidR="00434E57">
        <w:trPr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年度節電量（度）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104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105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106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107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108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109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113</w:t>
            </w:r>
          </w:p>
        </w:tc>
      </w:tr>
      <w:tr w:rsidR="00434E57">
        <w:trPr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4E57" w:rsidRDefault="00B153F6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年度用電量（度）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C</w:t>
            </w:r>
            <w:r>
              <w:rPr>
                <w:rFonts w:eastAsia="標楷體"/>
                <w:vertAlign w:val="subscript"/>
              </w:rPr>
              <w:t>104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C</w:t>
            </w:r>
            <w:r>
              <w:rPr>
                <w:rFonts w:eastAsia="標楷體"/>
                <w:vertAlign w:val="subscript"/>
              </w:rPr>
              <w:t>105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C</w:t>
            </w:r>
            <w:r>
              <w:rPr>
                <w:rFonts w:eastAsia="標楷體"/>
                <w:vertAlign w:val="subscript"/>
              </w:rPr>
              <w:t>106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C</w:t>
            </w:r>
            <w:r>
              <w:rPr>
                <w:rFonts w:eastAsia="標楷體"/>
                <w:vertAlign w:val="subscript"/>
              </w:rPr>
              <w:t>107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C</w:t>
            </w:r>
            <w:r>
              <w:rPr>
                <w:rFonts w:eastAsia="標楷體"/>
                <w:vertAlign w:val="subscript"/>
              </w:rPr>
              <w:t>108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C</w:t>
            </w:r>
            <w:r>
              <w:rPr>
                <w:rFonts w:eastAsia="標楷體"/>
                <w:vertAlign w:val="subscript"/>
              </w:rPr>
              <w:t>109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C</w:t>
            </w:r>
            <w:r>
              <w:rPr>
                <w:rFonts w:eastAsia="標楷體"/>
                <w:vertAlign w:val="subscript"/>
              </w:rPr>
              <w:t>110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C</w:t>
            </w:r>
            <w:r>
              <w:rPr>
                <w:rFonts w:eastAsia="標楷體"/>
                <w:vertAlign w:val="subscript"/>
              </w:rPr>
              <w:t>111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C</w:t>
            </w:r>
            <w:r>
              <w:rPr>
                <w:rFonts w:eastAsia="標楷體"/>
                <w:vertAlign w:val="subscript"/>
              </w:rPr>
              <w:t>112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C</w:t>
            </w:r>
            <w:r>
              <w:rPr>
                <w:rFonts w:eastAsia="標楷體"/>
                <w:vertAlign w:val="subscript"/>
              </w:rPr>
              <w:t>113</w:t>
            </w:r>
          </w:p>
        </w:tc>
      </w:tr>
      <w:tr w:rsidR="00434E57">
        <w:trPr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</w:rPr>
              <w:t>平均年節電率（</w:t>
            </w:r>
            <w:r>
              <w:rPr>
                <w:rFonts w:eastAsia="Times New Roman"/>
              </w:rPr>
              <w:t>%</w:t>
            </w:r>
            <w:r>
              <w:rPr>
                <w:rFonts w:eastAsia="標楷體"/>
              </w:rPr>
              <w:t>）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R</w:t>
            </w:r>
            <w:r>
              <w:rPr>
                <w:rFonts w:eastAsia="標楷體"/>
                <w:vertAlign w:val="subscript"/>
              </w:rPr>
              <w:t>104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R</w:t>
            </w:r>
            <w:r>
              <w:rPr>
                <w:rFonts w:eastAsia="標楷體"/>
                <w:vertAlign w:val="subscript"/>
              </w:rPr>
              <w:t>105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R</w:t>
            </w:r>
            <w:r>
              <w:rPr>
                <w:rFonts w:eastAsia="標楷體"/>
                <w:vertAlign w:val="subscript"/>
              </w:rPr>
              <w:t>106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R</w:t>
            </w:r>
            <w:r>
              <w:rPr>
                <w:rFonts w:eastAsia="標楷體"/>
                <w:vertAlign w:val="subscript"/>
              </w:rPr>
              <w:t>107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R</w:t>
            </w:r>
            <w:r>
              <w:rPr>
                <w:rFonts w:eastAsia="標楷體"/>
                <w:vertAlign w:val="subscript"/>
              </w:rPr>
              <w:t>108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R</w:t>
            </w:r>
            <w:r>
              <w:rPr>
                <w:rFonts w:eastAsia="標楷體"/>
                <w:vertAlign w:val="subscript"/>
              </w:rPr>
              <w:t>109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R</w:t>
            </w:r>
            <w:r>
              <w:rPr>
                <w:rFonts w:eastAsia="標楷體"/>
                <w:vertAlign w:val="subscript"/>
              </w:rPr>
              <w:t>110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R</w:t>
            </w:r>
            <w:r>
              <w:rPr>
                <w:rFonts w:eastAsia="標楷體"/>
                <w:vertAlign w:val="subscript"/>
              </w:rPr>
              <w:t>111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R</w:t>
            </w:r>
            <w:r>
              <w:rPr>
                <w:rFonts w:eastAsia="標楷體"/>
                <w:vertAlign w:val="subscript"/>
              </w:rPr>
              <w:t>112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E57" w:rsidRDefault="00B153F6">
            <w:pPr>
              <w:overflowPunct w:val="0"/>
              <w:snapToGrid w:val="0"/>
              <w:jc w:val="center"/>
            </w:pPr>
            <w:r>
              <w:rPr>
                <w:rFonts w:eastAsia="標楷體"/>
                <w:i/>
              </w:rPr>
              <w:t>R</w:t>
            </w:r>
            <w:r>
              <w:rPr>
                <w:rFonts w:eastAsia="標楷體"/>
                <w:vertAlign w:val="subscript"/>
              </w:rPr>
              <w:t>113</w:t>
            </w:r>
          </w:p>
        </w:tc>
      </w:tr>
      <w:tr w:rsidR="00434E57">
        <w:trPr>
          <w:jc w:val="center"/>
        </w:trPr>
        <w:tc>
          <w:tcPr>
            <w:tcW w:w="8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4E57" w:rsidRDefault="00B153F6">
            <w:pPr>
              <w:overflowPunct w:val="0"/>
              <w:snapToGrid w:val="0"/>
              <w:spacing w:line="400" w:lineRule="exact"/>
              <w:ind w:left="970" w:hanging="970"/>
            </w:pP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：一、</w:t>
            </w:r>
            <w:r>
              <w:rPr>
                <w:rFonts w:eastAsia="Times New Roman"/>
              </w:rPr>
              <w:tab/>
            </w:r>
            <w:r>
              <w:rPr>
                <w:rFonts w:eastAsia="標楷體"/>
              </w:rPr>
              <w:t>本規定之年度節電量，係指依第二點所列各種節約能源措施計算為節電量後加總而得。各種節約能源措施之節電量計算如下所列：</w:t>
            </w:r>
          </w:p>
          <w:p w:rsidR="00434E57" w:rsidRDefault="00B153F6">
            <w:pPr>
              <w:numPr>
                <w:ilvl w:val="0"/>
                <w:numId w:val="2"/>
              </w:numPr>
              <w:overflowPunct w:val="0"/>
              <w:snapToGrid w:val="0"/>
              <w:spacing w:line="400" w:lineRule="exact"/>
              <w:ind w:left="1276" w:hanging="256"/>
            </w:pPr>
            <w:r>
              <w:rPr>
                <w:rFonts w:eastAsia="標楷體"/>
              </w:rPr>
              <w:t>節約熱能之節電量</w:t>
            </w:r>
            <w:r>
              <w:rPr>
                <w:rFonts w:eastAsia="Times New Roman"/>
              </w:rPr>
              <w:t xml:space="preserve"> = </w:t>
            </w:r>
            <w:r>
              <w:rPr>
                <w:rFonts w:eastAsia="標楷體"/>
              </w:rPr>
              <w:t>節約熱能量</w:t>
            </w: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標楷體"/>
              </w:rPr>
              <w:t>千卡</w:t>
            </w:r>
            <w:r>
              <w:rPr>
                <w:rFonts w:eastAsia="Times New Roman"/>
              </w:rPr>
              <w:t>)</w:t>
            </w:r>
            <w:proofErr w:type="gramEnd"/>
            <w:r>
              <w:rPr>
                <w:rFonts w:eastAsia="Times New Roman"/>
              </w:rPr>
              <w:t xml:space="preserve"> / </w:t>
            </w:r>
            <w:r>
              <w:rPr>
                <w:rFonts w:eastAsia="標楷體"/>
              </w:rPr>
              <w:t>860 (</w:t>
            </w:r>
            <w:r>
              <w:rPr>
                <w:rFonts w:eastAsia="標楷體"/>
              </w:rPr>
              <w:t>千卡</w:t>
            </w:r>
            <w:r>
              <w:rPr>
                <w:rFonts w:eastAsia="Times New Roman"/>
              </w:rPr>
              <w:t>/</w:t>
            </w:r>
            <w:r>
              <w:rPr>
                <w:rFonts w:eastAsia="標楷體"/>
              </w:rPr>
              <w:t>度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標楷體"/>
              </w:rPr>
              <w:t xml:space="preserve">x </w:t>
            </w:r>
            <w:r>
              <w:rPr>
                <w:rFonts w:eastAsia="標楷體"/>
              </w:rPr>
              <w:t>轉換效率係數</w:t>
            </w:r>
          </w:p>
          <w:p w:rsidR="00434E57" w:rsidRDefault="00B153F6">
            <w:pPr>
              <w:pStyle w:val="af0"/>
              <w:numPr>
                <w:ilvl w:val="0"/>
                <w:numId w:val="1"/>
              </w:numPr>
              <w:suppressAutoHyphens/>
              <w:overflowPunct w:val="0"/>
              <w:snapToGrid w:val="0"/>
              <w:spacing w:line="400" w:lineRule="exact"/>
              <w:ind w:left="1701" w:hanging="425"/>
              <w:textAlignment w:val="baselin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火力電廠能源用戶之轉換效率係數為</w:t>
            </w:r>
            <w:r>
              <w:rPr>
                <w:rFonts w:ascii="Times New Roman" w:eastAsia="標楷體" w:hAnsi="Times New Roman" w:cs="Times New Roman"/>
              </w:rPr>
              <w:t>40%</w:t>
            </w:r>
            <w:r>
              <w:rPr>
                <w:rFonts w:ascii="Times New Roman" w:eastAsia="標楷體" w:hAnsi="Times New Roman" w:cs="Times New Roman"/>
              </w:rPr>
              <w:t>；汽電共生廠能源用戶之轉換效率係數為</w:t>
            </w:r>
            <w:r>
              <w:rPr>
                <w:rFonts w:ascii="Times New Roman" w:eastAsia="標楷體" w:hAnsi="Times New Roman" w:cs="Times New Roman"/>
              </w:rPr>
              <w:t>20%</w:t>
            </w:r>
            <w:r>
              <w:rPr>
                <w:rFonts w:ascii="Times New Roman" w:eastAsia="標楷體" w:hAnsi="Times New Roman" w:cs="Times New Roman"/>
              </w:rPr>
              <w:t>；其餘能源用戶之轉換效率係數為</w:t>
            </w:r>
            <w:r>
              <w:rPr>
                <w:rFonts w:ascii="Times New Roman" w:eastAsia="標楷體" w:hAnsi="Times New Roman" w:cs="Times New Roman"/>
              </w:rPr>
              <w:t>10%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  <w:p w:rsidR="00434E57" w:rsidRDefault="00B153F6">
            <w:pPr>
              <w:pStyle w:val="af0"/>
              <w:numPr>
                <w:ilvl w:val="0"/>
                <w:numId w:val="1"/>
              </w:numPr>
              <w:suppressAutoHyphens/>
              <w:overflowPunct w:val="0"/>
              <w:snapToGrid w:val="0"/>
              <w:spacing w:line="400" w:lineRule="exact"/>
              <w:ind w:left="1701" w:hanging="425"/>
              <w:textAlignment w:val="baselin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能源用戶每年認列節約熱能</w:t>
            </w:r>
            <w:proofErr w:type="gramStart"/>
            <w:r>
              <w:rPr>
                <w:rFonts w:ascii="Times New Roman" w:eastAsia="標楷體" w:hAnsi="Times New Roman" w:cs="Times New Roman"/>
              </w:rPr>
              <w:t>之總節電量</w:t>
            </w:r>
            <w:proofErr w:type="gramEnd"/>
            <w:r>
              <w:rPr>
                <w:rFonts w:ascii="Times New Roman" w:eastAsia="標楷體" w:hAnsi="Times New Roman" w:cs="Times New Roman"/>
              </w:rPr>
              <w:t>，以不超過年度用電量之</w:t>
            </w:r>
            <w:r>
              <w:rPr>
                <w:rFonts w:ascii="Times New Roman" w:eastAsia="標楷體" w:hAnsi="Times New Roman" w:cs="Times New Roman"/>
              </w:rPr>
              <w:t>0.5%</w:t>
            </w:r>
            <w:r>
              <w:rPr>
                <w:rFonts w:ascii="Times New Roman" w:eastAsia="標楷體" w:hAnsi="Times New Roman" w:cs="Times New Roman"/>
              </w:rPr>
              <w:t>為限。</w:t>
            </w:r>
          </w:p>
          <w:p w:rsidR="00434E57" w:rsidRDefault="00B153F6">
            <w:pPr>
              <w:numPr>
                <w:ilvl w:val="0"/>
                <w:numId w:val="2"/>
              </w:numPr>
              <w:overflowPunct w:val="0"/>
              <w:snapToGrid w:val="0"/>
              <w:spacing w:line="400" w:lineRule="exact"/>
              <w:ind w:left="1276" w:hanging="256"/>
            </w:pPr>
            <w:r>
              <w:rPr>
                <w:rFonts w:eastAsia="標楷體"/>
              </w:rPr>
              <w:t>需量反應之節電量</w:t>
            </w:r>
            <w:r>
              <w:rPr>
                <w:rFonts w:eastAsia="Times New Roman"/>
              </w:rPr>
              <w:t xml:space="preserve"> = </w:t>
            </w:r>
            <w:proofErr w:type="gramStart"/>
            <w:r>
              <w:rPr>
                <w:rFonts w:eastAsia="標楷體"/>
              </w:rPr>
              <w:t>實際抑</w:t>
            </w:r>
            <w:proofErr w:type="gramEnd"/>
            <w:r>
              <w:rPr>
                <w:rFonts w:eastAsia="標楷體"/>
              </w:rPr>
              <w:t>低量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/>
              </w:rPr>
              <w:t xml:space="preserve">kW) x </w:t>
            </w:r>
            <w:r>
              <w:rPr>
                <w:rFonts w:eastAsia="標楷體"/>
              </w:rPr>
              <w:t>抑低時數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標楷體"/>
              </w:rPr>
              <w:t>小時</w:t>
            </w:r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標楷體"/>
              </w:rPr>
              <w:t>實際抑</w:t>
            </w:r>
            <w:proofErr w:type="gramEnd"/>
            <w:r>
              <w:rPr>
                <w:rFonts w:eastAsia="標楷體"/>
              </w:rPr>
              <w:t>低量須有台灣電力股份有限公司之相關文件佐證。</w:t>
            </w:r>
          </w:p>
          <w:p w:rsidR="00434E57" w:rsidRDefault="00B153F6">
            <w:pPr>
              <w:overflowPunct w:val="0"/>
              <w:snapToGrid w:val="0"/>
              <w:spacing w:line="400" w:lineRule="exact"/>
              <w:ind w:left="847" w:hanging="446"/>
              <w:rPr>
                <w:rFonts w:eastAsia="標楷體"/>
              </w:rPr>
            </w:pPr>
            <w:r>
              <w:rPr>
                <w:rFonts w:eastAsia="標楷體"/>
              </w:rPr>
              <w:t>二、節電措施之節電量計算</w:t>
            </w:r>
            <w:proofErr w:type="gramStart"/>
            <w:r>
              <w:rPr>
                <w:rFonts w:eastAsia="標楷體"/>
              </w:rPr>
              <w:t>期間，</w:t>
            </w:r>
            <w:proofErr w:type="gramEnd"/>
            <w:r>
              <w:rPr>
                <w:rFonts w:eastAsia="標楷體"/>
              </w:rPr>
              <w:t>自實施日之次月起算，最多以十二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月為限。但計算期間跨年度者，節省之用電量按年度分別計算。</w:t>
            </w:r>
          </w:p>
          <w:p w:rsidR="00434E57" w:rsidRDefault="00B153F6">
            <w:pPr>
              <w:overflowPunct w:val="0"/>
              <w:snapToGrid w:val="0"/>
              <w:spacing w:line="400" w:lineRule="exact"/>
              <w:ind w:left="1841" w:hanging="991"/>
            </w:pPr>
            <w:proofErr w:type="gramStart"/>
            <w:r>
              <w:rPr>
                <w:rFonts w:eastAsia="標楷體"/>
              </w:rPr>
              <w:t>＊</w:t>
            </w:r>
            <w:proofErr w:type="gramEnd"/>
            <w:r>
              <w:rPr>
                <w:rFonts w:eastAsia="標楷體"/>
              </w:rPr>
              <w:t>示例：</w:t>
            </w:r>
            <w:r>
              <w:rPr>
                <w:rFonts w:eastAsia="Times New Roman"/>
              </w:rPr>
              <w:tab/>
            </w: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>104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日起實施</w:t>
            </w:r>
            <w:proofErr w:type="gramStart"/>
            <w:r>
              <w:rPr>
                <w:rFonts w:eastAsia="標楷體"/>
              </w:rPr>
              <w:t>某項節電</w:t>
            </w:r>
            <w:proofErr w:type="gramEnd"/>
            <w:r>
              <w:rPr>
                <w:rFonts w:eastAsia="標楷體"/>
              </w:rPr>
              <w:t>措施，節省用電量之計算期間自</w:t>
            </w:r>
            <w:r>
              <w:rPr>
                <w:rFonts w:eastAsia="標楷體"/>
              </w:rPr>
              <w:t>104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>105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月止。因屬跨年度，</w:t>
            </w: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104</w:t>
            </w:r>
            <w:r>
              <w:rPr>
                <w:rFonts w:eastAsia="標楷體"/>
              </w:rPr>
              <w:t>等於</w:t>
            </w:r>
            <w:r>
              <w:rPr>
                <w:rFonts w:eastAsia="標楷體"/>
              </w:rPr>
              <w:t>104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月至</w:t>
            </w: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月新增之節電量，</w:t>
            </w: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105</w:t>
            </w:r>
            <w:r>
              <w:rPr>
                <w:rFonts w:eastAsia="標楷體"/>
              </w:rPr>
              <w:t>等於</w:t>
            </w:r>
            <w:r>
              <w:rPr>
                <w:rFonts w:eastAsia="標楷體"/>
              </w:rPr>
              <w:t>105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月至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月新增之節電量，</w:t>
            </w:r>
            <w:r>
              <w:rPr>
                <w:rFonts w:eastAsia="標楷體"/>
                <w:i/>
              </w:rPr>
              <w:t>S</w:t>
            </w:r>
            <w:r>
              <w:rPr>
                <w:rFonts w:eastAsia="標楷體"/>
                <w:vertAlign w:val="subscript"/>
              </w:rPr>
              <w:t>106</w:t>
            </w:r>
            <w:r>
              <w:rPr>
                <w:rFonts w:eastAsia="標楷體"/>
                <w:vertAlign w:val="subscript"/>
              </w:rPr>
              <w:t>至</w:t>
            </w:r>
            <w:r>
              <w:rPr>
                <w:rFonts w:eastAsia="標楷體"/>
                <w:vertAlign w:val="subscript"/>
              </w:rPr>
              <w:t>113</w:t>
            </w:r>
            <w:r>
              <w:rPr>
                <w:rFonts w:eastAsia="標楷體"/>
              </w:rPr>
              <w:t xml:space="preserve"> = 0</w:t>
            </w:r>
            <w:r>
              <w:rPr>
                <w:rFonts w:eastAsia="標楷體"/>
              </w:rPr>
              <w:t>。</w:t>
            </w:r>
          </w:p>
          <w:p w:rsidR="00434E57" w:rsidRDefault="00B153F6">
            <w:pPr>
              <w:overflowPunct w:val="0"/>
              <w:snapToGrid w:val="0"/>
              <w:spacing w:line="400" w:lineRule="exact"/>
              <w:ind w:left="403"/>
              <w:rPr>
                <w:rFonts w:eastAsia="標楷體"/>
              </w:rPr>
            </w:pPr>
            <w:r>
              <w:rPr>
                <w:rFonts w:eastAsia="標楷體"/>
              </w:rPr>
              <w:t>三、</w:t>
            </w:r>
            <w:r>
              <w:rPr>
                <w:rFonts w:eastAsia="標楷體"/>
              </w:rPr>
              <w:t>104</w:t>
            </w:r>
            <w:r>
              <w:rPr>
                <w:rFonts w:eastAsia="標楷體"/>
              </w:rPr>
              <w:t>年至</w:t>
            </w:r>
            <w:r>
              <w:rPr>
                <w:rFonts w:eastAsia="標楷體"/>
              </w:rPr>
              <w:t>113</w:t>
            </w:r>
            <w:r>
              <w:rPr>
                <w:rFonts w:eastAsia="標楷體"/>
              </w:rPr>
              <w:t>年之平均年節電率，依下列公式計算：</w:t>
            </w:r>
          </w:p>
          <w:p w:rsidR="00434E57" w:rsidRDefault="00B153F6">
            <w:pPr>
              <w:overflowPunct w:val="0"/>
              <w:snapToGrid w:val="0"/>
              <w:spacing w:line="400" w:lineRule="exact"/>
              <w:ind w:left="1558" w:hanging="677"/>
            </w:pPr>
            <w:r>
              <w:rPr>
                <w:rFonts w:eastAsia="標楷體"/>
              </w:rPr>
              <w:t>R</w:t>
            </w:r>
            <w:r>
              <w:rPr>
                <w:rFonts w:eastAsia="標楷體"/>
                <w:vertAlign w:val="subscript"/>
              </w:rPr>
              <w:t>113</w:t>
            </w:r>
            <w:r>
              <w:rPr>
                <w:rFonts w:eastAsia="標楷體"/>
              </w:rPr>
              <w:t xml:space="preserve"> =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vertAlign w:val="subscript"/>
              </w:rPr>
              <w:t>104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105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106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107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 xml:space="preserve">108 </w:t>
            </w:r>
            <w:r>
              <w:rPr>
                <w:rFonts w:eastAsia="標楷體"/>
              </w:rPr>
              <w:t>+ S</w:t>
            </w:r>
            <w:r>
              <w:rPr>
                <w:rFonts w:eastAsia="標楷體"/>
                <w:vertAlign w:val="subscript"/>
              </w:rPr>
              <w:t>109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110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111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112</w:t>
            </w:r>
            <w:r>
              <w:rPr>
                <w:rFonts w:eastAsia="標楷體"/>
              </w:rPr>
              <w:t>+ S</w:t>
            </w:r>
            <w:r>
              <w:rPr>
                <w:rFonts w:eastAsia="標楷體"/>
                <w:vertAlign w:val="subscript"/>
              </w:rPr>
              <w:t>113</w:t>
            </w:r>
            <w:r>
              <w:rPr>
                <w:rFonts w:eastAsia="標楷體"/>
              </w:rPr>
              <w:t>）</w:t>
            </w:r>
            <w:r>
              <w:rPr>
                <w:rFonts w:eastAsia="Times New Roman"/>
              </w:rPr>
              <w:br/>
              <w:t>/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vertAlign w:val="subscript"/>
              </w:rPr>
              <w:t>104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105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106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107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108</w:t>
            </w:r>
            <w:r>
              <w:rPr>
                <w:rFonts w:eastAsia="標楷體"/>
              </w:rPr>
              <w:t>+ S</w:t>
            </w:r>
            <w:r>
              <w:rPr>
                <w:rFonts w:eastAsia="標楷體"/>
                <w:vertAlign w:val="subscript"/>
              </w:rPr>
              <w:t>109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110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111</w:t>
            </w:r>
            <w:r>
              <w:rPr>
                <w:rFonts w:eastAsia="標楷體"/>
              </w:rPr>
              <w:t xml:space="preserve"> + S</w:t>
            </w:r>
            <w:r>
              <w:rPr>
                <w:rFonts w:eastAsia="標楷體"/>
                <w:vertAlign w:val="subscript"/>
              </w:rPr>
              <w:t>112</w:t>
            </w:r>
            <w:r>
              <w:rPr>
                <w:rFonts w:eastAsia="標楷體"/>
              </w:rPr>
              <w:t>+ S</w:t>
            </w:r>
            <w:r>
              <w:rPr>
                <w:rFonts w:eastAsia="標楷體"/>
                <w:vertAlign w:val="subscript"/>
              </w:rPr>
              <w:t>113</w:t>
            </w:r>
            <w:r>
              <w:rPr>
                <w:rFonts w:eastAsia="標楷體"/>
                <w:vertAlign w:val="subscript"/>
              </w:rPr>
              <w:br/>
            </w:r>
            <w:r>
              <w:rPr>
                <w:rFonts w:eastAsia="標楷體"/>
              </w:rPr>
              <w:t>+ C</w:t>
            </w:r>
            <w:r>
              <w:rPr>
                <w:rFonts w:eastAsia="標楷體"/>
                <w:vertAlign w:val="subscript"/>
              </w:rPr>
              <w:t>104</w:t>
            </w:r>
            <w:r>
              <w:rPr>
                <w:rFonts w:eastAsia="標楷體"/>
              </w:rPr>
              <w:t xml:space="preserve"> + C</w:t>
            </w:r>
            <w:r>
              <w:rPr>
                <w:rFonts w:eastAsia="標楷體"/>
                <w:vertAlign w:val="subscript"/>
              </w:rPr>
              <w:t>105</w:t>
            </w:r>
            <w:r>
              <w:rPr>
                <w:rFonts w:eastAsia="標楷體"/>
              </w:rPr>
              <w:t xml:space="preserve"> + C</w:t>
            </w:r>
            <w:r>
              <w:rPr>
                <w:rFonts w:eastAsia="標楷體"/>
                <w:vertAlign w:val="subscript"/>
              </w:rPr>
              <w:t>106</w:t>
            </w:r>
            <w:r>
              <w:rPr>
                <w:rFonts w:eastAsia="標楷體"/>
              </w:rPr>
              <w:t xml:space="preserve"> + C</w:t>
            </w:r>
            <w:r>
              <w:rPr>
                <w:rFonts w:eastAsia="標楷體"/>
                <w:vertAlign w:val="subscript"/>
              </w:rPr>
              <w:t>107</w:t>
            </w:r>
            <w:r>
              <w:rPr>
                <w:rFonts w:eastAsia="標楷體"/>
              </w:rPr>
              <w:t xml:space="preserve"> + C</w:t>
            </w:r>
            <w:r>
              <w:rPr>
                <w:rFonts w:eastAsia="標楷體"/>
                <w:vertAlign w:val="subscript"/>
              </w:rPr>
              <w:t>108</w:t>
            </w:r>
            <w:r>
              <w:rPr>
                <w:rFonts w:eastAsia="標楷體"/>
              </w:rPr>
              <w:t>+ C</w:t>
            </w:r>
            <w:r>
              <w:rPr>
                <w:rFonts w:eastAsia="標楷體"/>
                <w:vertAlign w:val="subscript"/>
              </w:rPr>
              <w:t>109</w:t>
            </w:r>
            <w:r>
              <w:rPr>
                <w:rFonts w:eastAsia="標楷體"/>
              </w:rPr>
              <w:t xml:space="preserve"> + C</w:t>
            </w:r>
            <w:r>
              <w:rPr>
                <w:rFonts w:eastAsia="標楷體"/>
                <w:vertAlign w:val="subscript"/>
              </w:rPr>
              <w:t>110</w:t>
            </w:r>
            <w:r>
              <w:rPr>
                <w:rFonts w:eastAsia="標楷體"/>
              </w:rPr>
              <w:t xml:space="preserve"> + C</w:t>
            </w:r>
            <w:r>
              <w:rPr>
                <w:rFonts w:eastAsia="標楷體"/>
                <w:vertAlign w:val="subscript"/>
              </w:rPr>
              <w:t>111</w:t>
            </w:r>
            <w:r>
              <w:rPr>
                <w:rFonts w:eastAsia="標楷體"/>
              </w:rPr>
              <w:t xml:space="preserve"> + C</w:t>
            </w:r>
            <w:r>
              <w:rPr>
                <w:rFonts w:eastAsia="標楷體"/>
                <w:vertAlign w:val="subscript"/>
              </w:rPr>
              <w:t>112</w:t>
            </w:r>
            <w:r>
              <w:rPr>
                <w:rFonts w:eastAsia="標楷體"/>
              </w:rPr>
              <w:t xml:space="preserve"> + C</w:t>
            </w:r>
            <w:r>
              <w:rPr>
                <w:rFonts w:eastAsia="標楷體"/>
                <w:vertAlign w:val="subscript"/>
              </w:rPr>
              <w:t>113</w:t>
            </w:r>
            <w:r>
              <w:rPr>
                <w:rFonts w:eastAsia="標楷體"/>
              </w:rPr>
              <w:t>）</w:t>
            </w:r>
            <w:r>
              <w:rPr>
                <w:rFonts w:ascii="Wingdings 2" w:eastAsia="Wingdings 2" w:hAnsi="Wingdings 2" w:cs="Wingdings 2"/>
              </w:rPr>
              <w:t></w:t>
            </w:r>
            <w:r>
              <w:rPr>
                <w:rFonts w:eastAsia="標楷體"/>
              </w:rPr>
              <w:t>100%</w:t>
            </w:r>
          </w:p>
        </w:tc>
      </w:tr>
    </w:tbl>
    <w:p w:rsidR="00434E57" w:rsidRDefault="00B153F6">
      <w:pPr>
        <w:autoSpaceDE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</w:p>
    <w:p w:rsidR="00434E57" w:rsidRDefault="00434E57">
      <w:pPr>
        <w:widowControl/>
        <w:spacing w:line="460" w:lineRule="exact"/>
        <w:ind w:left="993" w:hanging="567"/>
        <w:jc w:val="distribute"/>
        <w:rPr>
          <w:rFonts w:ascii="標楷體" w:eastAsia="標楷體" w:hAnsi="標楷體" w:cs="Arial"/>
          <w:bCs/>
          <w:sz w:val="28"/>
          <w:szCs w:val="28"/>
        </w:rPr>
      </w:pPr>
    </w:p>
    <w:sectPr w:rsidR="00434E57">
      <w:footerReference w:type="default" r:id="rId8"/>
      <w:pgSz w:w="11906" w:h="16838"/>
      <w:pgMar w:top="1440" w:right="1466" w:bottom="1440" w:left="1800" w:header="0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E3" w:rsidRDefault="00B153F6">
      <w:r>
        <w:separator/>
      </w:r>
    </w:p>
  </w:endnote>
  <w:endnote w:type="continuationSeparator" w:id="0">
    <w:p w:rsidR="008126E3" w:rsidRDefault="00B1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57" w:rsidRDefault="00B153F6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946BC0">
      <w:rPr>
        <w:noProof/>
      </w:rPr>
      <w:t>1</w:t>
    </w:r>
    <w:r>
      <w:fldChar w:fldCharType="end"/>
    </w:r>
  </w:p>
  <w:p w:rsidR="00434E57" w:rsidRDefault="00434E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E3" w:rsidRDefault="00B153F6">
      <w:r>
        <w:separator/>
      </w:r>
    </w:p>
  </w:footnote>
  <w:footnote w:type="continuationSeparator" w:id="0">
    <w:p w:rsidR="008126E3" w:rsidRDefault="00B1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2DEE"/>
    <w:multiLevelType w:val="multilevel"/>
    <w:tmpl w:val="6F72F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390F98"/>
    <w:multiLevelType w:val="multilevel"/>
    <w:tmpl w:val="C4964A5E"/>
    <w:lvl w:ilvl="0">
      <w:start w:val="1"/>
      <w:numFmt w:val="decimal"/>
      <w:lvlText w:val="%1."/>
      <w:lvlJc w:val="left"/>
      <w:pPr>
        <w:ind w:left="1380" w:hanging="360"/>
      </w:pPr>
      <w:rPr>
        <w:rFonts w:eastAsia="標楷體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084"/>
    <w:multiLevelType w:val="multilevel"/>
    <w:tmpl w:val="D30E6314"/>
    <w:lvl w:ilvl="0">
      <w:start w:val="1"/>
      <w:numFmt w:val="decimal"/>
      <w:lvlText w:val="(%1)"/>
      <w:lvlJc w:val="left"/>
      <w:pPr>
        <w:ind w:left="1802" w:hanging="360"/>
      </w:pPr>
      <w:rPr>
        <w:rFonts w:ascii="Times New Roman" w:eastAsia="標楷體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57"/>
    <w:rsid w:val="00434E57"/>
    <w:rsid w:val="008126E3"/>
    <w:rsid w:val="00946BC0"/>
    <w:rsid w:val="00B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標楷體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標楷體" w:eastAsia="標楷體" w:hAnsi="標楷體" w:cs="Times New Roman"/>
      <w:lang w:val="en-U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標楷體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特別強調"/>
    <w:qFormat/>
    <w:rPr>
      <w:b/>
      <w:bCs/>
    </w:rPr>
  </w:style>
  <w:style w:type="character" w:customStyle="1" w:styleId="a4">
    <w:name w:val="頁首 字元"/>
    <w:qFormat/>
  </w:style>
  <w:style w:type="character" w:customStyle="1" w:styleId="a5">
    <w:name w:val="頁尾 字元"/>
    <w:qFormat/>
  </w:style>
  <w:style w:type="character" w:customStyle="1" w:styleId="a6">
    <w:name w:val="網際網路連結"/>
    <w:rPr>
      <w:color w:val="0000FF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qFormat/>
    <w:rPr>
      <w:rFonts w:ascii="Arial" w:hAnsi="Arial" w:cs="Arial"/>
      <w:sz w:val="18"/>
      <w:szCs w:val="18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;PMingLiU" w:hAnsi="新細明體;PMingLiU" w:cs="新細明體;PMingLiU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11">
    <w:name w:val="011"/>
    <w:basedOn w:val="a"/>
    <w:qFormat/>
    <w:pPr>
      <w:widowControl/>
      <w:spacing w:before="280" w:after="280"/>
    </w:pPr>
    <w:rPr>
      <w:rFonts w:ascii="新細明體;PMingLiU" w:hAnsi="新細明體;PMingLiU" w:cs="新細明體;PMingLiU"/>
    </w:rPr>
  </w:style>
  <w:style w:type="paragraph" w:customStyle="1" w:styleId="af">
    <w:name w:val="公文(後續段落)"/>
    <w:qFormat/>
    <w:pPr>
      <w:snapToGrid w:val="0"/>
      <w:spacing w:line="578" w:lineRule="exact"/>
      <w:ind w:left="340"/>
    </w:pPr>
    <w:rPr>
      <w:rFonts w:ascii="Times New Roman" w:eastAsia="標楷體" w:hAnsi="Times New Roman" w:cs="Times New Roman"/>
      <w:sz w:val="34"/>
      <w:szCs w:val="20"/>
      <w:lang w:bidi="ar-SA"/>
    </w:rPr>
  </w:style>
  <w:style w:type="paragraph" w:styleId="af0">
    <w:name w:val="List Paragraph"/>
    <w:basedOn w:val="a"/>
    <w:qFormat/>
    <w:pPr>
      <w:ind w:left="480"/>
    </w:pPr>
    <w:rPr>
      <w:rFonts w:ascii="Calibri" w:hAnsi="Calibri" w:cs="Calibri"/>
      <w:szCs w:val="22"/>
    </w:rPr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標楷體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標楷體" w:eastAsia="標楷體" w:hAnsi="標楷體" w:cs="Times New Roman"/>
      <w:lang w:val="en-U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標楷體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特別強調"/>
    <w:qFormat/>
    <w:rPr>
      <w:b/>
      <w:bCs/>
    </w:rPr>
  </w:style>
  <w:style w:type="character" w:customStyle="1" w:styleId="a4">
    <w:name w:val="頁首 字元"/>
    <w:qFormat/>
  </w:style>
  <w:style w:type="character" w:customStyle="1" w:styleId="a5">
    <w:name w:val="頁尾 字元"/>
    <w:qFormat/>
  </w:style>
  <w:style w:type="character" w:customStyle="1" w:styleId="a6">
    <w:name w:val="網際網路連結"/>
    <w:rPr>
      <w:color w:val="0000FF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qFormat/>
    <w:rPr>
      <w:rFonts w:ascii="Arial" w:hAnsi="Arial" w:cs="Arial"/>
      <w:sz w:val="18"/>
      <w:szCs w:val="18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;PMingLiU" w:hAnsi="新細明體;PMingLiU" w:cs="新細明體;PMingLiU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11">
    <w:name w:val="011"/>
    <w:basedOn w:val="a"/>
    <w:qFormat/>
    <w:pPr>
      <w:widowControl/>
      <w:spacing w:before="280" w:after="280"/>
    </w:pPr>
    <w:rPr>
      <w:rFonts w:ascii="新細明體;PMingLiU" w:hAnsi="新細明體;PMingLiU" w:cs="新細明體;PMingLiU"/>
    </w:rPr>
  </w:style>
  <w:style w:type="paragraph" w:customStyle="1" w:styleId="af">
    <w:name w:val="公文(後續段落)"/>
    <w:qFormat/>
    <w:pPr>
      <w:snapToGrid w:val="0"/>
      <w:spacing w:line="578" w:lineRule="exact"/>
      <w:ind w:left="340"/>
    </w:pPr>
    <w:rPr>
      <w:rFonts w:ascii="Times New Roman" w:eastAsia="標楷體" w:hAnsi="Times New Roman" w:cs="Times New Roman"/>
      <w:sz w:val="34"/>
      <w:szCs w:val="20"/>
      <w:lang w:bidi="ar-SA"/>
    </w:rPr>
  </w:style>
  <w:style w:type="paragraph" w:styleId="af0">
    <w:name w:val="List Paragraph"/>
    <w:basedOn w:val="a"/>
    <w:qFormat/>
    <w:pPr>
      <w:ind w:left="480"/>
    </w:pPr>
    <w:rPr>
      <w:rFonts w:ascii="Calibri" w:hAnsi="Calibri" w:cs="Calibri"/>
      <w:szCs w:val="22"/>
    </w:rPr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2019-09-09T15:33:00Z</cp:lastPrinted>
  <dcterms:created xsi:type="dcterms:W3CDTF">2019-12-26T07:51:00Z</dcterms:created>
  <dcterms:modified xsi:type="dcterms:W3CDTF">2019-12-26T07:51:00Z</dcterms:modified>
  <dc:language>zh-TW</dc:language>
</cp:coreProperties>
</file>