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3" w:rsidRPr="00D17C73" w:rsidRDefault="00DE638D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  <w:r w:rsidRPr="00D17C73">
        <w:rPr>
          <w:rFonts w:ascii="標楷體" w:eastAsia="標楷體" w:hAnsi="標楷體" w:cs="標楷體"/>
          <w:color w:val="000000" w:themeColor="text1"/>
        </w:rPr>
        <w:t>附件</w:t>
      </w:r>
      <w:proofErr w:type="gramStart"/>
      <w:r w:rsidRPr="00D17C73">
        <w:rPr>
          <w:rFonts w:ascii="標楷體" w:eastAsia="標楷體" w:hAnsi="標楷體" w:cs="標楷體"/>
          <w:color w:val="000000" w:themeColor="text1"/>
        </w:rPr>
        <w:t>三</w:t>
      </w:r>
      <w:proofErr w:type="gramEnd"/>
    </w:p>
    <w:p w:rsidR="00E162C3" w:rsidRPr="00D17C73" w:rsidRDefault="00DE638D">
      <w:pPr>
        <w:pStyle w:val="Standarduser"/>
        <w:snapToGrid w:val="0"/>
        <w:spacing w:line="300" w:lineRule="auto"/>
        <w:ind w:left="1470" w:hanging="1470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績效保證計畫書</w:t>
      </w:r>
    </w:p>
    <w:p w:rsidR="00E162C3" w:rsidRPr="00D17C73" w:rsidRDefault="00DE638D">
      <w:pPr>
        <w:pStyle w:val="Standarduser"/>
        <w:numPr>
          <w:ilvl w:val="0"/>
          <w:numId w:val="12"/>
        </w:numPr>
        <w:spacing w:line="460" w:lineRule="exact"/>
        <w:ind w:left="1276" w:hanging="567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受補助單位能源使用概況。</w:t>
      </w:r>
    </w:p>
    <w:p w:rsidR="00E162C3" w:rsidRPr="00D17C73" w:rsidRDefault="00DE638D">
      <w:pPr>
        <w:pStyle w:val="a7"/>
        <w:numPr>
          <w:ilvl w:val="0"/>
          <w:numId w:val="13"/>
        </w:numPr>
        <w:spacing w:line="460" w:lineRule="exact"/>
        <w:ind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使用能源類型、數量、費用、流向及主要使用設備說明。</w:t>
      </w:r>
    </w:p>
    <w:p w:rsidR="00E162C3" w:rsidRPr="00D17C73" w:rsidRDefault="00DE638D">
      <w:pPr>
        <w:pStyle w:val="a7"/>
        <w:numPr>
          <w:ilvl w:val="0"/>
          <w:numId w:val="14"/>
        </w:numPr>
        <w:spacing w:line="460" w:lineRule="exact"/>
        <w:ind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申請標的使用之系統描述包含電力系統、空調系統、鍋爐系統及照明設備等設備規格及操作說明。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二、績效保證計畫概要、預估節能效益及節能率。(優先補助項目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單獨分列敘述) 。</w:t>
      </w:r>
    </w:p>
    <w:p w:rsidR="00E162C3" w:rsidRPr="00D17C73" w:rsidRDefault="00DE638D">
      <w:pPr>
        <w:pStyle w:val="Standarduser"/>
        <w:spacing w:line="460" w:lineRule="exact"/>
        <w:ind w:left="130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改善措施說明，包含各項措施改善前/後之情況、節能效益計算依據及執行工程施工步驟與施工時程。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三、績效保證計畫之節能績效量測、驗證及節能率計算方式(優先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補助項目單獨分列敘述)。</w:t>
      </w:r>
    </w:p>
    <w:p w:rsidR="00E162C3" w:rsidRPr="00D17C73" w:rsidRDefault="00DE638D">
      <w:pPr>
        <w:pStyle w:val="Standarduser"/>
        <w:spacing w:line="460" w:lineRule="exact"/>
        <w:ind w:left="130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前項改善措施使用之量測驗證方法說明，包含引用之方法學(量測驗證範本)、量測之參數、基準建立之方法及節能率計算之方式。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四、節能績效量測及驗證之基本約定(優先補助項目單獨分列敘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述)。</w:t>
      </w:r>
    </w:p>
    <w:p w:rsidR="00E162C3" w:rsidRPr="00D17C73" w:rsidRDefault="00DE638D">
      <w:pPr>
        <w:pStyle w:val="Standarduser"/>
        <w:spacing w:line="460" w:lineRule="exact"/>
        <w:ind w:left="130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載明績效保證計畫中各項改善措施改善前後之量測驗證基本約定，包含能源單價、量測方式、量測週期、量測時間、量測資料擷取間隔時間及取樣比例等。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五、經費預算</w:t>
      </w:r>
      <w:proofErr w:type="gramStart"/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初估表</w:t>
      </w:r>
      <w:proofErr w:type="gramEnd"/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(優先補助項目經費、其他改善經費及合計總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經費)。</w:t>
      </w:r>
    </w:p>
    <w:p w:rsidR="00E162C3" w:rsidRPr="00D17C73" w:rsidRDefault="00DE638D">
      <w:pPr>
        <w:pStyle w:val="a7"/>
        <w:numPr>
          <w:ilvl w:val="0"/>
          <w:numId w:val="15"/>
        </w:numPr>
        <w:spacing w:line="460" w:lineRule="exact"/>
        <w:ind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說明優先補助項目中設計費、材料費、施工費、業務費及管理費等各項經費組成。</w:t>
      </w:r>
    </w:p>
    <w:tbl>
      <w:tblPr>
        <w:tblW w:w="8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1434"/>
        <w:gridCol w:w="876"/>
        <w:gridCol w:w="4405"/>
      </w:tblGrid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科目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金額(仟元)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%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說明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1.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設計費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both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規劃設計費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2.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材料費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如下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空調主機</w:t>
            </w: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○</w:t>
            </w:r>
            <w:r w:rsidRPr="00D17C73">
              <w:rPr>
                <w:rFonts w:eastAsia="標楷體"/>
                <w:color w:val="000000" w:themeColor="text1"/>
                <w:sz w:val="20"/>
              </w:rPr>
              <w:t>RT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一組，</w:t>
            </w:r>
            <w:r w:rsidRPr="00D17C73">
              <w:rPr>
                <w:rFonts w:eastAsia="標楷體"/>
                <w:color w:val="000000" w:themeColor="text1"/>
                <w:sz w:val="20"/>
              </w:rPr>
              <w:t>COP=</w:t>
            </w: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○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，</w:t>
            </w:r>
            <w:r w:rsidRPr="00D17C73">
              <w:rPr>
                <w:rFonts w:eastAsia="標楷體"/>
                <w:color w:val="000000" w:themeColor="text1"/>
                <w:sz w:val="20"/>
              </w:rPr>
              <w:t>Q</w:t>
            </w:r>
            <w:r w:rsidRPr="00D17C73">
              <w:rPr>
                <w:rFonts w:eastAsia="標楷體"/>
                <w:color w:val="000000" w:themeColor="text1"/>
                <w:sz w:val="20"/>
                <w:vertAlign w:val="subscript"/>
              </w:rPr>
              <w:t>COM</w:t>
            </w:r>
            <w:r w:rsidRPr="00D17C73">
              <w:rPr>
                <w:rFonts w:eastAsia="標楷體"/>
                <w:color w:val="000000" w:themeColor="text1"/>
                <w:sz w:val="20"/>
              </w:rPr>
              <w:t>=</w:t>
            </w: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○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3.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施工費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如下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空調主機拆除及更新工資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空調主機試車調整工資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4.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業務費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量</w:t>
            </w:r>
            <w:proofErr w:type="gramStart"/>
            <w:r w:rsidRPr="00D17C73">
              <w:rPr>
                <w:rFonts w:eastAsia="標楷體" w:cs="標楷體"/>
                <w:color w:val="000000" w:themeColor="text1"/>
                <w:sz w:val="20"/>
              </w:rPr>
              <w:t>測驗證費</w:t>
            </w:r>
            <w:proofErr w:type="gramEnd"/>
            <w:r w:rsidRPr="00D17C73">
              <w:rPr>
                <w:rFonts w:eastAsia="標楷體"/>
                <w:color w:val="000000" w:themeColor="text1"/>
                <w:sz w:val="20"/>
              </w:rPr>
              <w:t>(</w:t>
            </w: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○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次</w:t>
            </w:r>
            <w:r w:rsidRPr="00D17C7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lastRenderedPageBreak/>
              <w:t>5.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管理費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工程施工管理及相關文件作業費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6.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稅捐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營業稅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7.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其他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E162C3">
            <w:pPr>
              <w:pStyle w:val="Standarduser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162C3" w:rsidRPr="00D17C73">
        <w:trPr>
          <w:trHeight w:val="41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合計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100.0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E162C3">
            <w:pPr>
              <w:pStyle w:val="Standarduser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E162C3" w:rsidRPr="00D17C73" w:rsidRDefault="00E162C3">
      <w:pPr>
        <w:pStyle w:val="Standarduser"/>
        <w:spacing w:line="460" w:lineRule="exact"/>
        <w:ind w:left="1231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DE638D">
      <w:pPr>
        <w:pStyle w:val="a7"/>
        <w:numPr>
          <w:ilvl w:val="0"/>
          <w:numId w:val="5"/>
        </w:numPr>
        <w:spacing w:line="460" w:lineRule="exact"/>
        <w:ind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說明除優先補助項目外之績效保證計畫中設計費、材料費、施工費、業務費及管理費等各項經費組成。</w:t>
      </w:r>
    </w:p>
    <w:tbl>
      <w:tblPr>
        <w:tblW w:w="8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1434"/>
        <w:gridCol w:w="876"/>
        <w:gridCol w:w="4405"/>
      </w:tblGrid>
      <w:tr w:rsidR="00D17C73" w:rsidRPr="00D17C73">
        <w:trPr>
          <w:trHeight w:val="420"/>
          <w:jc w:val="center"/>
        </w:trPr>
        <w:tc>
          <w:tcPr>
            <w:tcW w:w="8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E162C3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科目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金額(仟元)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%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說明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1.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設計費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both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規劃設計費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2.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材料費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如下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熱泵主機一組，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LED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照明燈具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N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盞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3.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施工費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如下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熱水系統拆除及更新工資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熱水系統調整工資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4.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業務費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量</w:t>
            </w:r>
            <w:proofErr w:type="gramStart"/>
            <w:r w:rsidRPr="00D17C73">
              <w:rPr>
                <w:rFonts w:eastAsia="標楷體" w:cs="標楷體"/>
                <w:color w:val="000000" w:themeColor="text1"/>
                <w:sz w:val="20"/>
              </w:rPr>
              <w:t>測驗證費</w:t>
            </w:r>
            <w:proofErr w:type="gramEnd"/>
            <w:r w:rsidRPr="00D17C73">
              <w:rPr>
                <w:rFonts w:eastAsia="標楷體"/>
                <w:color w:val="000000" w:themeColor="text1"/>
                <w:sz w:val="20"/>
              </w:rPr>
              <w:t>(</w:t>
            </w: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○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次</w:t>
            </w:r>
            <w:r w:rsidRPr="00D17C7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5.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管理費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工程施工管理及相關文件作業費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6.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稅捐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營業稅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7.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其他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E162C3">
            <w:pPr>
              <w:pStyle w:val="Standarduser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162C3" w:rsidRPr="00D17C73">
        <w:trPr>
          <w:trHeight w:val="41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合計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100.0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E162C3">
            <w:pPr>
              <w:pStyle w:val="Standarduser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E162C3" w:rsidRPr="00D17C73" w:rsidRDefault="00E162C3">
      <w:pPr>
        <w:pStyle w:val="Standarduser"/>
        <w:spacing w:line="460" w:lineRule="exact"/>
        <w:ind w:left="113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DE638D">
      <w:pPr>
        <w:pStyle w:val="a7"/>
        <w:numPr>
          <w:ilvl w:val="0"/>
          <w:numId w:val="5"/>
        </w:numPr>
        <w:spacing w:line="460" w:lineRule="exact"/>
        <w:ind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說明整體績效保證計畫中設計費、材料費、施工費、業務費及管理費等各項經費組成。</w:t>
      </w:r>
    </w:p>
    <w:tbl>
      <w:tblPr>
        <w:tblW w:w="8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1434"/>
        <w:gridCol w:w="876"/>
        <w:gridCol w:w="4405"/>
      </w:tblGrid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科目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金額(仟元)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%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說明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1.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設計費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 w:cs="Calibri"/>
                <w:color w:val="000000" w:themeColor="text1"/>
                <w:sz w:val="20"/>
              </w:rPr>
            </w:pPr>
            <w:r w:rsidRPr="00D17C73">
              <w:rPr>
                <w:rFonts w:eastAsia="標楷體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both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規劃設計費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2.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材料費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 w:cs="Calibri"/>
                <w:color w:val="000000" w:themeColor="text1"/>
                <w:sz w:val="20"/>
              </w:rPr>
            </w:pPr>
            <w:r w:rsidRPr="00D17C73">
              <w:rPr>
                <w:rFonts w:eastAsia="標楷體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如下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空調</w:t>
            </w:r>
            <w:r w:rsidRPr="00D17C73">
              <w:rPr>
                <w:rFonts w:ascii="新細明體, PMingLiU" w:hAnsi="新細明體, PMingLiU" w:cs="新細明體, PMingLiU"/>
                <w:color w:val="000000" w:themeColor="text1"/>
                <w:sz w:val="20"/>
              </w:rPr>
              <w:t>、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熱泵主機</w:t>
            </w:r>
            <w:r w:rsidRPr="00D17C73">
              <w:rPr>
                <w:rFonts w:ascii="新細明體, PMingLiU" w:hAnsi="新細明體, PMingLiU" w:cs="新細明體, PMingLiU"/>
                <w:color w:val="000000" w:themeColor="text1"/>
                <w:sz w:val="20"/>
              </w:rPr>
              <w:t>，LED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照明燈具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N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盞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3.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施工費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如下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空調</w:t>
            </w:r>
            <w:r w:rsidRPr="00D17C73">
              <w:rPr>
                <w:rFonts w:ascii="新細明體, PMingLiU" w:hAnsi="新細明體, PMingLiU" w:cs="新細明體, PMingLiU"/>
                <w:color w:val="000000" w:themeColor="text1"/>
                <w:sz w:val="20"/>
              </w:rPr>
              <w:t>、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電熱水器及燈具拆除及更新工資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空調</w:t>
            </w:r>
            <w:r w:rsidRPr="00D17C73">
              <w:rPr>
                <w:rFonts w:ascii="新細明體, PMingLiU" w:hAnsi="新細明體, PMingLiU" w:cs="新細明體, PMingLiU"/>
                <w:color w:val="000000" w:themeColor="text1"/>
                <w:sz w:val="20"/>
              </w:rPr>
              <w:t>、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熱水系統調整工資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4.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業務費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量</w:t>
            </w:r>
            <w:proofErr w:type="gramStart"/>
            <w:r w:rsidRPr="00D17C73">
              <w:rPr>
                <w:rFonts w:eastAsia="標楷體" w:cs="標楷體"/>
                <w:color w:val="000000" w:themeColor="text1"/>
                <w:sz w:val="20"/>
              </w:rPr>
              <w:t>測驗證費</w:t>
            </w:r>
            <w:proofErr w:type="gramEnd"/>
            <w:r w:rsidRPr="00D17C73">
              <w:rPr>
                <w:rFonts w:eastAsia="標楷體"/>
                <w:color w:val="000000" w:themeColor="text1"/>
                <w:sz w:val="20"/>
              </w:rPr>
              <w:t>(</w:t>
            </w:r>
            <w:r w:rsidRPr="00D17C73">
              <w:rPr>
                <w:rFonts w:ascii="標楷體" w:eastAsia="標楷體" w:hAnsi="標楷體" w:cs="標楷體"/>
                <w:color w:val="000000" w:themeColor="text1"/>
                <w:sz w:val="20"/>
              </w:rPr>
              <w:t>○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次</w:t>
            </w:r>
            <w:r w:rsidRPr="00D17C7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5.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管理費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工程施工管理及相關文件作業費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6.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稅捐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營業稅</w:t>
            </w:r>
          </w:p>
        </w:tc>
      </w:tr>
      <w:tr w:rsidR="00D17C73" w:rsidRPr="00D17C73">
        <w:trPr>
          <w:trHeight w:val="4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lastRenderedPageBreak/>
              <w:t>7.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其他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⃝⃝⃝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Calibri" w:cs="Calibri"/>
                <w:color w:val="000000" w:themeColor="text1"/>
                <w:sz w:val="20"/>
              </w:rPr>
            </w:pPr>
            <w:r w:rsidRPr="00D17C73">
              <w:rPr>
                <w:rFonts w:eastAsia="Calibri" w:cs="Calibri"/>
                <w:color w:val="000000" w:themeColor="text1"/>
                <w:sz w:val="20"/>
              </w:rPr>
              <w:t>⃝.⃝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rPr>
                <w:color w:val="000000" w:themeColor="text1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資金運作</w:t>
            </w:r>
            <w:r w:rsidRPr="00D17C73">
              <w:rPr>
                <w:rFonts w:eastAsia="標楷體" w:cs="新細明體, PMingLiU"/>
                <w:color w:val="000000" w:themeColor="text1"/>
                <w:sz w:val="20"/>
              </w:rPr>
              <w:t>、</w:t>
            </w:r>
            <w:r w:rsidRPr="00D17C73">
              <w:rPr>
                <w:rFonts w:eastAsia="標楷體" w:cs="標楷體"/>
                <w:color w:val="000000" w:themeColor="text1"/>
                <w:sz w:val="20"/>
              </w:rPr>
              <w:t>利息等</w:t>
            </w:r>
          </w:p>
        </w:tc>
      </w:tr>
      <w:tr w:rsidR="00E162C3" w:rsidRPr="00D17C73">
        <w:trPr>
          <w:trHeight w:val="41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center"/>
              <w:rPr>
                <w:rFonts w:eastAsia="標楷體" w:cs="標楷體"/>
                <w:color w:val="000000" w:themeColor="text1"/>
                <w:sz w:val="20"/>
              </w:rPr>
            </w:pPr>
            <w:r w:rsidRPr="00D17C73">
              <w:rPr>
                <w:rFonts w:eastAsia="標楷體" w:cs="標楷體"/>
                <w:color w:val="000000" w:themeColor="text1"/>
                <w:sz w:val="20"/>
              </w:rPr>
              <w:t>合計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pacing w:line="240" w:lineRule="exact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17C73">
              <w:rPr>
                <w:rFonts w:eastAsia="標楷體"/>
                <w:color w:val="000000" w:themeColor="text1"/>
                <w:sz w:val="20"/>
              </w:rPr>
              <w:t>100.0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E162C3">
            <w:pPr>
              <w:pStyle w:val="Standarduser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E162C3" w:rsidRPr="00D17C73" w:rsidRDefault="00E162C3">
      <w:pPr>
        <w:pStyle w:val="a7"/>
        <w:spacing w:line="460" w:lineRule="exact"/>
        <w:ind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DE638D">
      <w:pPr>
        <w:pStyle w:val="a7"/>
        <w:numPr>
          <w:ilvl w:val="0"/>
          <w:numId w:val="5"/>
        </w:numPr>
        <w:spacing w:line="460" w:lineRule="exact"/>
        <w:ind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說明績效保證計畫中經費流向，包含補助經費支用、自籌款項及經費支付等。</w:t>
      </w:r>
    </w:p>
    <w:tbl>
      <w:tblPr>
        <w:tblW w:w="82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341"/>
        <w:gridCol w:w="3298"/>
        <w:gridCol w:w="3200"/>
      </w:tblGrid>
      <w:tr w:rsidR="00D17C73" w:rsidRPr="00D17C73">
        <w:trPr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  <w:t>預定期程</w:t>
            </w:r>
          </w:p>
        </w:tc>
        <w:tc>
          <w:tcPr>
            <w:tcW w:w="6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自民國○○○年○○月○○日至民國○○○年○○月○○日</w:t>
            </w:r>
          </w:p>
        </w:tc>
      </w:tr>
      <w:tr w:rsidR="00D17C73" w:rsidRPr="00D17C73">
        <w:trPr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  <w:szCs w:val="20"/>
              </w:rPr>
              <w:t>預計總經費</w:t>
            </w:r>
          </w:p>
        </w:tc>
        <w:tc>
          <w:tcPr>
            <w:tcW w:w="6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○○○○○○</w:t>
            </w:r>
          </w:p>
        </w:tc>
      </w:tr>
      <w:tr w:rsidR="00D17C73" w:rsidRPr="00D17C73">
        <w:trPr>
          <w:jc w:val="center"/>
        </w:trPr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bCs/>
                <w:color w:val="000000" w:themeColor="text1"/>
                <w:sz w:val="18"/>
              </w:rPr>
              <w:t>工程期間支付廠商之費用</w:t>
            </w:r>
          </w:p>
        </w:tc>
      </w:tr>
      <w:tr w:rsidR="00D17C73" w:rsidRPr="00D17C73">
        <w:trPr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付款時程規劃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單位自籌(a)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 w:rsidP="00E846EF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F155F5">
              <w:rPr>
                <w:rFonts w:ascii="標楷體" w:eastAsia="標楷體" w:hAnsi="標楷體" w:cs="標楷體"/>
                <w:color w:val="FF0000"/>
                <w:sz w:val="18"/>
              </w:rPr>
              <w:t>能源</w:t>
            </w:r>
            <w:r w:rsidR="00E846EF" w:rsidRPr="00F155F5">
              <w:rPr>
                <w:rFonts w:ascii="標楷體" w:eastAsia="標楷體" w:hAnsi="標楷體" w:cs="標楷體" w:hint="eastAsia"/>
                <w:color w:val="FF0000"/>
                <w:sz w:val="18"/>
              </w:rPr>
              <w:t>署</w:t>
            </w: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補助款(b)</w:t>
            </w:r>
          </w:p>
        </w:tc>
      </w:tr>
      <w:tr w:rsidR="00D17C73" w:rsidRPr="00D17C73">
        <w:trPr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預付款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</w:tr>
      <w:tr w:rsidR="00D17C73" w:rsidRPr="00D17C73">
        <w:trPr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proofErr w:type="gramStart"/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第1期款</w:t>
            </w:r>
            <w:proofErr w:type="gram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</w:tr>
      <w:tr w:rsidR="00D17C73" w:rsidRPr="00D17C73">
        <w:trPr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proofErr w:type="gramStart"/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第2期款</w:t>
            </w:r>
            <w:proofErr w:type="gram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</w:tr>
      <w:tr w:rsidR="00D17C73" w:rsidRPr="00D17C73">
        <w:trPr>
          <w:cantSplit/>
          <w:trHeight w:val="565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…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…</w:t>
            </w:r>
          </w:p>
        </w:tc>
      </w:tr>
      <w:tr w:rsidR="00D17C73" w:rsidRPr="00D17C73">
        <w:trPr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第○期款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</w:tr>
      <w:tr w:rsidR="00D17C73" w:rsidRPr="00D17C73">
        <w:trPr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小計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C3" w:rsidRPr="00D17C73" w:rsidRDefault="00DE638D">
            <w:pPr>
              <w:pStyle w:val="Standarduser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</w:rPr>
            </w:pPr>
            <w:r w:rsidRPr="00D17C73">
              <w:rPr>
                <w:rFonts w:ascii="標楷體" w:eastAsia="標楷體" w:hAnsi="標楷體" w:cs="標楷體"/>
                <w:color w:val="000000" w:themeColor="text1"/>
                <w:sz w:val="18"/>
              </w:rPr>
              <w:t>○○○</w:t>
            </w:r>
          </w:p>
        </w:tc>
      </w:tr>
    </w:tbl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六、受補助單位預算、財源搭配或其他相關說明資料。</w:t>
      </w:r>
    </w:p>
    <w:p w:rsidR="00E162C3" w:rsidRPr="00D17C73" w:rsidRDefault="00DE638D">
      <w:pPr>
        <w:pStyle w:val="Standarduser"/>
        <w:numPr>
          <w:ilvl w:val="0"/>
          <w:numId w:val="16"/>
        </w:numPr>
        <w:spacing w:line="460" w:lineRule="exact"/>
        <w:ind w:left="1560" w:hanging="329"/>
        <w:rPr>
          <w:rFonts w:ascii="標楷體" w:eastAsia="標楷體" w:hAnsi="標楷體"/>
          <w:color w:val="000000" w:themeColor="text1"/>
          <w:sz w:val="28"/>
        </w:rPr>
      </w:pPr>
      <w:r w:rsidRPr="00D17C73">
        <w:rPr>
          <w:rFonts w:ascii="標楷體" w:eastAsia="標楷體" w:hAnsi="標楷體"/>
          <w:color w:val="000000" w:themeColor="text1"/>
          <w:sz w:val="28"/>
        </w:rPr>
        <w:t>預算行政程序說明(單位標準年度預算編列概述)。</w:t>
      </w:r>
    </w:p>
    <w:p w:rsidR="00E162C3" w:rsidRPr="00D17C73" w:rsidRDefault="00DE638D">
      <w:pPr>
        <w:pStyle w:val="Standarduser"/>
        <w:numPr>
          <w:ilvl w:val="0"/>
          <w:numId w:val="17"/>
        </w:numPr>
        <w:spacing w:line="460" w:lineRule="exact"/>
        <w:ind w:left="1560" w:hanging="329"/>
        <w:rPr>
          <w:rFonts w:ascii="標楷體" w:eastAsia="標楷體" w:hAnsi="標楷體"/>
          <w:color w:val="000000" w:themeColor="text1"/>
          <w:sz w:val="28"/>
        </w:rPr>
      </w:pPr>
      <w:r w:rsidRPr="00D17C73">
        <w:rPr>
          <w:rFonts w:ascii="標楷體" w:eastAsia="標楷體" w:hAnsi="標楷體"/>
          <w:color w:val="000000" w:themeColor="text1"/>
          <w:sz w:val="28"/>
        </w:rPr>
        <w:t>績效保證計畫財源搭配預算編列行政作業說明。</w:t>
      </w:r>
    </w:p>
    <w:p w:rsidR="00E162C3" w:rsidRPr="00D17C73" w:rsidRDefault="00DE638D">
      <w:pPr>
        <w:pStyle w:val="Standarduser"/>
        <w:numPr>
          <w:ilvl w:val="0"/>
          <w:numId w:val="6"/>
        </w:numPr>
        <w:spacing w:line="460" w:lineRule="exact"/>
        <w:ind w:left="1560" w:hanging="329"/>
        <w:rPr>
          <w:rFonts w:ascii="標楷體" w:eastAsia="標楷體" w:hAnsi="標楷體"/>
          <w:color w:val="000000" w:themeColor="text1"/>
          <w:sz w:val="28"/>
        </w:rPr>
      </w:pPr>
      <w:r w:rsidRPr="00D17C73">
        <w:rPr>
          <w:rFonts w:ascii="標楷體" w:eastAsia="標楷體" w:hAnsi="標楷體"/>
          <w:color w:val="000000" w:themeColor="text1"/>
          <w:sz w:val="28"/>
        </w:rPr>
        <w:t>績效保證計畫經費確定下後續採購作業說明。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七、未達預估節能率之處理方案。</w:t>
      </w:r>
    </w:p>
    <w:p w:rsidR="00E162C3" w:rsidRPr="00D17C73" w:rsidRDefault="00DE638D">
      <w:pPr>
        <w:pStyle w:val="Standarduser"/>
        <w:spacing w:line="460" w:lineRule="exact"/>
        <w:ind w:left="1272" w:hanging="281"/>
        <w:jc w:val="both"/>
        <w:rPr>
          <w:color w:val="000000" w:themeColor="text1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說明績效保證計畫節能</w:t>
      </w:r>
      <w:r w:rsidRPr="00D17C73">
        <w:rPr>
          <w:rFonts w:ascii="標楷體" w:eastAsia="標楷體" w:hAnsi="標楷體" w:cs="標楷體"/>
          <w:color w:val="000000" w:themeColor="text1"/>
          <w:sz w:val="30"/>
          <w:szCs w:val="30"/>
        </w:rPr>
        <w:t>率未達預估節能率之處理方式及罰則等。</w:t>
      </w:r>
    </w:p>
    <w:p w:rsidR="00E162C3" w:rsidRPr="00D17C73" w:rsidRDefault="00DE638D">
      <w:pPr>
        <w:pStyle w:val="Standarduser"/>
        <w:spacing w:line="46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>八、維持績效保證計畫之後續維護規劃。</w:t>
      </w:r>
    </w:p>
    <w:p w:rsidR="00E162C3" w:rsidRPr="00D17C73" w:rsidRDefault="00DE638D">
      <w:pPr>
        <w:pStyle w:val="Standarduser"/>
        <w:spacing w:line="460" w:lineRule="exact"/>
        <w:ind w:left="1272" w:hanging="28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7C7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針對績效保證計畫中後續教育訓練、每年固定維修費、必要性備用零件項目及預算等進行說明。</w:t>
      </w:r>
    </w:p>
    <w:p w:rsidR="00E162C3" w:rsidRPr="00D17C73" w:rsidRDefault="00E162C3">
      <w:pPr>
        <w:pStyle w:val="Standarduser"/>
        <w:spacing w:line="460" w:lineRule="exact"/>
        <w:ind w:left="1272" w:hanging="28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162C3" w:rsidRPr="00D17C73" w:rsidRDefault="00E162C3">
      <w:pPr>
        <w:pStyle w:val="Standarduser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E162C3" w:rsidRPr="00D17C73">
      <w:footerReference w:type="default" r:id="rId8"/>
      <w:pgSz w:w="11906" w:h="16838"/>
      <w:pgMar w:top="720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97" w:rsidRDefault="00D60A97">
      <w:r>
        <w:separator/>
      </w:r>
    </w:p>
  </w:endnote>
  <w:endnote w:type="continuationSeparator" w:id="0">
    <w:p w:rsidR="00D60A97" w:rsidRDefault="00D6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B1" w:rsidRDefault="00DE638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AF2B7A">
      <w:rPr>
        <w:noProof/>
      </w:rPr>
      <w:t>1</w:t>
    </w:r>
    <w:r>
      <w:fldChar w:fldCharType="end"/>
    </w:r>
  </w:p>
  <w:p w:rsidR="004E4AB1" w:rsidRDefault="00D60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97" w:rsidRDefault="00D60A97">
      <w:r>
        <w:rPr>
          <w:color w:val="000000"/>
        </w:rPr>
        <w:separator/>
      </w:r>
    </w:p>
  </w:footnote>
  <w:footnote w:type="continuationSeparator" w:id="0">
    <w:p w:rsidR="00D60A97" w:rsidRDefault="00D6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4D2"/>
    <w:multiLevelType w:val="multilevel"/>
    <w:tmpl w:val="E56AC20C"/>
    <w:styleLink w:val="WWNum7"/>
    <w:lvl w:ilvl="0">
      <w:numFmt w:val="bullet"/>
      <w:lvlText w:val=""/>
      <w:lvlJc w:val="left"/>
      <w:pPr>
        <w:ind w:left="1473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19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7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5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3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1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9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7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51" w:hanging="480"/>
      </w:pPr>
      <w:rPr>
        <w:rFonts w:ascii="Wingdings" w:hAnsi="Wingdings" w:cs="Wingdings"/>
      </w:rPr>
    </w:lvl>
  </w:abstractNum>
  <w:abstractNum w:abstractNumId="1">
    <w:nsid w:val="170C664B"/>
    <w:multiLevelType w:val="multilevel"/>
    <w:tmpl w:val="2190FDC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3F042B"/>
    <w:multiLevelType w:val="multilevel"/>
    <w:tmpl w:val="4B58F918"/>
    <w:styleLink w:val="WWNum1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3">
    <w:nsid w:val="2DF95D78"/>
    <w:multiLevelType w:val="multilevel"/>
    <w:tmpl w:val="027004E8"/>
    <w:styleLink w:val="WWNum4"/>
    <w:lvl w:ilvl="0">
      <w:start w:val="1"/>
      <w:numFmt w:val="japaneseCounting"/>
      <w:lvlText w:val="%1、"/>
      <w:lvlJc w:val="left"/>
      <w:pPr>
        <w:ind w:left="1736" w:hanging="88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376B3BDB"/>
    <w:multiLevelType w:val="multilevel"/>
    <w:tmpl w:val="2722D18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29B0749"/>
    <w:multiLevelType w:val="multilevel"/>
    <w:tmpl w:val="6236287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E0B3BF5"/>
    <w:multiLevelType w:val="multilevel"/>
    <w:tmpl w:val="E5CC5274"/>
    <w:styleLink w:val="WWNum5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7">
    <w:nsid w:val="53D56C09"/>
    <w:multiLevelType w:val="multilevel"/>
    <w:tmpl w:val="B5285A1A"/>
    <w:styleLink w:val="WWNum6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8">
    <w:nsid w:val="63667F4A"/>
    <w:multiLevelType w:val="multilevel"/>
    <w:tmpl w:val="F9C0DDE0"/>
    <w:styleLink w:val="WWNum3"/>
    <w:lvl w:ilvl="0">
      <w:start w:val="1"/>
      <w:numFmt w:val="japaneseCounting"/>
      <w:lvlText w:val="%1、"/>
      <w:lvlJc w:val="left"/>
      <w:pPr>
        <w:ind w:left="1736" w:hanging="885"/>
      </w:pPr>
      <w:rPr>
        <w:rFonts w:eastAsia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68AD120A"/>
    <w:multiLevelType w:val="multilevel"/>
    <w:tmpl w:val="968E613C"/>
    <w:styleLink w:val="WWNum2"/>
    <w:lvl w:ilvl="0">
      <w:numFmt w:val="bullet"/>
      <w:lvlText w:val=""/>
      <w:lvlJc w:val="left"/>
      <w:pPr>
        <w:ind w:left="1473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19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7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5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3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1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9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7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51" w:hanging="480"/>
      </w:pPr>
      <w:rPr>
        <w:rFonts w:ascii="Wingdings" w:hAnsi="Wingdings" w:cs="Wingdings"/>
      </w:rPr>
    </w:lvl>
  </w:abstractNum>
  <w:abstractNum w:abstractNumId="10">
    <w:nsid w:val="73AB46B6"/>
    <w:multiLevelType w:val="multilevel"/>
    <w:tmpl w:val="F5C063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3"/>
    <w:rsid w:val="00157FF6"/>
    <w:rsid w:val="00193CB7"/>
    <w:rsid w:val="001D54EB"/>
    <w:rsid w:val="001E2DBA"/>
    <w:rsid w:val="002A7353"/>
    <w:rsid w:val="00313851"/>
    <w:rsid w:val="006F53CD"/>
    <w:rsid w:val="007847A3"/>
    <w:rsid w:val="00875694"/>
    <w:rsid w:val="009750DD"/>
    <w:rsid w:val="009D392F"/>
    <w:rsid w:val="00A67055"/>
    <w:rsid w:val="00AF2B7A"/>
    <w:rsid w:val="00B15615"/>
    <w:rsid w:val="00BB060A"/>
    <w:rsid w:val="00D17C73"/>
    <w:rsid w:val="00D30CD8"/>
    <w:rsid w:val="00D60A97"/>
    <w:rsid w:val="00DE638D"/>
    <w:rsid w:val="00E162C3"/>
    <w:rsid w:val="00E846EF"/>
    <w:rsid w:val="00F155F5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7">
    <w:name w:val="List Paragraph"/>
    <w:basedOn w:val="Standarduser"/>
    <w:pPr>
      <w:ind w:left="480"/>
    </w:pPr>
    <w:rPr>
      <w:rFonts w:ascii="Times New Roman" w:eastAsia="Times New Roman" w:hAnsi="Times New Roman"/>
      <w:szCs w:val="24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Wingdings"/>
      <w:sz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標楷體" w:eastAsia="標楷體" w:hAnsi="標楷體" w:cs="Wingdings"/>
      <w:sz w:val="28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  <w:szCs w:val="28"/>
    </w:rPr>
  </w:style>
  <w:style w:type="character" w:customStyle="1" w:styleId="ListLabel21">
    <w:name w:val="ListLabel 21"/>
    <w:rPr>
      <w:rFonts w:ascii="標楷體" w:eastAsia="標楷體" w:hAnsi="標楷體" w:cs="Wingdings"/>
      <w:sz w:val="28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標楷體" w:eastAsia="標楷體" w:hAnsi="標楷體" w:cs="Wingdings"/>
      <w:sz w:val="28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標楷體" w:eastAsia="標楷體" w:hAnsi="標楷體" w:cs="Wingdings"/>
      <w:sz w:val="28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7">
    <w:name w:val="List Paragraph"/>
    <w:basedOn w:val="Standarduser"/>
    <w:pPr>
      <w:ind w:left="480"/>
    </w:pPr>
    <w:rPr>
      <w:rFonts w:ascii="Times New Roman" w:eastAsia="Times New Roman" w:hAnsi="Times New Roman"/>
      <w:szCs w:val="24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Wingdings"/>
      <w:sz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標楷體" w:eastAsia="標楷體" w:hAnsi="標楷體" w:cs="Wingdings"/>
      <w:sz w:val="28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  <w:szCs w:val="28"/>
    </w:rPr>
  </w:style>
  <w:style w:type="character" w:customStyle="1" w:styleId="ListLabel21">
    <w:name w:val="ListLabel 21"/>
    <w:rPr>
      <w:rFonts w:ascii="標楷體" w:eastAsia="標楷體" w:hAnsi="標楷體" w:cs="Wingdings"/>
      <w:sz w:val="28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標楷體" w:eastAsia="標楷體" w:hAnsi="標楷體" w:cs="Wingdings"/>
      <w:sz w:val="28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標楷體" w:eastAsia="標楷體" w:hAnsi="標楷體" w:cs="Wingdings"/>
      <w:sz w:val="28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奕祥資訊</cp:lastModifiedBy>
  <cp:revision>2</cp:revision>
  <cp:lastPrinted>2024-04-08T02:34:00Z</cp:lastPrinted>
  <dcterms:created xsi:type="dcterms:W3CDTF">2024-04-08T02:38:00Z</dcterms:created>
  <dcterms:modified xsi:type="dcterms:W3CDTF">2024-04-08T02:38:00Z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