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2"/>
      </w:pPr>
      <w:r>
        <w:rPr/>
        <w:t>附表一</w:t>
      </w:r>
    </w:p>
    <w:p>
      <w:pPr>
        <w:pStyle w:val="BodyText"/>
        <w:spacing w:before="6"/>
        <w:ind w:left="0" w:firstLine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Title"/>
      </w:pPr>
      <w:r>
        <w:rPr/>
        <w:t>低壓三相鼠籠型感應電動機 </w:t>
      </w:r>
      <w:r>
        <w:rPr>
          <w:rFonts w:ascii="Times New Roman" w:eastAsia="Times New Roman"/>
        </w:rPr>
        <w:t>IE3</w:t>
      </w:r>
      <w:r>
        <w:rPr>
          <w:rFonts w:ascii="Times New Roman" w:eastAsia="Times New Roman"/>
          <w:spacing w:val="-1"/>
        </w:rPr>
        <w:t> </w:t>
      </w:r>
      <w:r>
        <w:rPr/>
        <w:t>能源效率基準</w:t>
      </w:r>
    </w:p>
    <w:p>
      <w:pPr>
        <w:spacing w:after="0"/>
        <w:sectPr>
          <w:type w:val="continuous"/>
          <w:pgSz w:w="11910" w:h="16840"/>
          <w:pgMar w:top="1040" w:bottom="280" w:left="1460" w:right="1680"/>
          <w:cols w:num="2" w:equalWidth="0">
            <w:col w:w="983" w:space="584"/>
            <w:col w:w="7203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7"/>
        </w:rPr>
      </w:pPr>
    </w:p>
    <w:tbl>
      <w:tblPr>
        <w:tblW w:w="0" w:type="auto"/>
        <w:jc w:val="left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1066"/>
        <w:gridCol w:w="737"/>
        <w:gridCol w:w="636"/>
        <w:gridCol w:w="636"/>
        <w:gridCol w:w="737"/>
        <w:gridCol w:w="636"/>
        <w:gridCol w:w="636"/>
        <w:gridCol w:w="734"/>
        <w:gridCol w:w="636"/>
        <w:gridCol w:w="636"/>
      </w:tblGrid>
      <w:tr>
        <w:trPr>
          <w:trHeight w:val="311" w:hRule="atLeast"/>
        </w:trPr>
        <w:tc>
          <w:tcPr>
            <w:tcW w:w="213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SimSun"/>
                <w:sz w:val="34"/>
              </w:rPr>
            </w:pPr>
          </w:p>
          <w:p>
            <w:pPr>
              <w:pStyle w:val="TableParagraph"/>
              <w:spacing w:line="240" w:lineRule="auto"/>
              <w:ind w:left="345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額定輸出功率</w:t>
            </w:r>
          </w:p>
        </w:tc>
        <w:tc>
          <w:tcPr>
            <w:tcW w:w="2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783" w:right="756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rFonts w:ascii="SimSun" w:eastAsia="SimSun" w:hint="eastAsia"/>
                <w:sz w:val="24"/>
              </w:rPr>
              <w:t>極</w:t>
            </w:r>
          </w:p>
        </w:tc>
        <w:tc>
          <w:tcPr>
            <w:tcW w:w="2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783" w:right="757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極</w:t>
            </w:r>
          </w:p>
        </w:tc>
        <w:tc>
          <w:tcPr>
            <w:tcW w:w="200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780" w:right="746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極</w:t>
            </w:r>
          </w:p>
        </w:tc>
      </w:tr>
      <w:tr>
        <w:trPr>
          <w:trHeight w:val="901" w:hRule="atLeast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19" w:right="125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2"/>
                <w:sz w:val="24"/>
              </w:rPr>
              <w:t>同步</w:t>
            </w:r>
            <w:r>
              <w:rPr>
                <w:rFonts w:ascii="SimSun" w:eastAsia="SimSun" w:hint="eastAsia"/>
                <w:spacing w:val="-9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7"/>
              <w:ind w:left="162" w:right="137"/>
              <w:rPr>
                <w:sz w:val="24"/>
              </w:rPr>
            </w:pPr>
            <w:r>
              <w:rPr>
                <w:rFonts w:ascii="SimSun" w:hAnsi="SimSun" w:eastAsia="SimSun" w:hint="eastAsia"/>
                <w:spacing w:val="-1"/>
                <w:sz w:val="24"/>
              </w:rPr>
              <w:t>額定滿載效率</w:t>
            </w:r>
            <w:r>
              <w:rPr>
                <w:i/>
                <w:spacing w:val="-1"/>
                <w:sz w:val="24"/>
              </w:rPr>
              <w:t>η</w:t>
            </w:r>
            <w:r>
              <w:rPr>
                <w:spacing w:val="-1"/>
                <w:sz w:val="24"/>
              </w:rPr>
              <w:t>(%)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18" w:right="126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2"/>
                <w:sz w:val="24"/>
              </w:rPr>
              <w:t>同步</w:t>
            </w:r>
            <w:r>
              <w:rPr>
                <w:rFonts w:ascii="SimSun" w:eastAsia="SimSun" w:hint="eastAsia"/>
                <w:spacing w:val="-9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7"/>
              <w:ind w:left="161" w:right="138"/>
              <w:rPr>
                <w:sz w:val="24"/>
              </w:rPr>
            </w:pPr>
            <w:r>
              <w:rPr>
                <w:rFonts w:ascii="SimSun" w:hAnsi="SimSun" w:eastAsia="SimSun" w:hint="eastAsia"/>
                <w:spacing w:val="-1"/>
                <w:sz w:val="24"/>
              </w:rPr>
              <w:t>額定滿載效率</w:t>
            </w:r>
            <w:r>
              <w:rPr>
                <w:i/>
                <w:spacing w:val="-1"/>
                <w:sz w:val="24"/>
              </w:rPr>
              <w:t>η</w:t>
            </w:r>
            <w:r>
              <w:rPr>
                <w:spacing w:val="-1"/>
                <w:sz w:val="24"/>
              </w:rPr>
              <w:t>(%)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16" w:right="125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2"/>
                <w:sz w:val="24"/>
              </w:rPr>
              <w:t>同步</w:t>
            </w:r>
            <w:r>
              <w:rPr>
                <w:rFonts w:ascii="SimSun" w:eastAsia="SimSun" w:hint="eastAsia"/>
                <w:spacing w:val="-9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27"/>
              <w:ind w:left="133" w:right="96" w:firstLine="31"/>
              <w:rPr>
                <w:sz w:val="24"/>
              </w:rPr>
            </w:pPr>
            <w:r>
              <w:rPr>
                <w:rFonts w:ascii="SimSun" w:hAnsi="SimSun" w:eastAsia="SimSun" w:hint="eastAsia"/>
                <w:sz w:val="24"/>
              </w:rPr>
              <w:t>額定滿載</w:t>
            </w:r>
            <w:r>
              <w:rPr>
                <w:rFonts w:ascii="SimSun" w:hAnsi="SimSun" w:eastAsia="SimSun" w:hint="eastAsia"/>
                <w:spacing w:val="-22"/>
                <w:sz w:val="24"/>
              </w:rPr>
              <w:t>效率 </w:t>
            </w:r>
            <w:r>
              <w:rPr>
                <w:i/>
                <w:spacing w:val="-3"/>
                <w:sz w:val="24"/>
              </w:rPr>
              <w:t>η</w:t>
            </w:r>
            <w:r>
              <w:rPr>
                <w:spacing w:val="-3"/>
                <w:sz w:val="24"/>
              </w:rPr>
              <w:t>(%)</w:t>
            </w:r>
          </w:p>
        </w:tc>
      </w:tr>
      <w:tr>
        <w:trPr>
          <w:trHeight w:val="1221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301" w:right="282"/>
              <w:jc w:val="center"/>
              <w:rPr>
                <w:sz w:val="24"/>
              </w:rPr>
            </w:pPr>
            <w:r>
              <w:rPr>
                <w:sz w:val="24"/>
              </w:rPr>
              <w:t>kW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74" w:lineRule="exact"/>
              <w:ind w:left="81" w:right="54"/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>
            <w:pPr>
              <w:pStyle w:val="TableParagraph"/>
              <w:spacing w:line="306" w:lineRule="exact"/>
              <w:ind w:left="82" w:right="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參考值</w:t>
            </w:r>
            <w:r>
              <w:rPr>
                <w:sz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2" w:right="181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2" w:right="181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保護型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2" w:right="181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2" w:right="181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保護型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5" w:right="178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205" w:right="168"/>
              <w:jc w:val="bot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保護型</w:t>
            </w:r>
          </w:p>
        </w:tc>
      </w:tr>
      <w:tr>
        <w:trPr>
          <w:trHeight w:val="267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135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77.0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77.0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135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SimSun"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SimSun"/>
                <w:sz w:val="36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84.0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88.5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88.5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88.5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</w:tr>
      <w:tr>
        <w:trPr>
          <w:trHeight w:val="257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92.4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92.4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92.4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92.4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</w:tr>
      <w:tr>
        <w:trPr>
          <w:trHeight w:val="258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2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16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</w:tr>
      <w:tr>
        <w:trPr>
          <w:trHeight w:val="262" w:hRule="atLeast"/>
        </w:trPr>
        <w:tc>
          <w:tcPr>
            <w:tcW w:w="10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01" w:right="28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95.4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95.4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</w:tr>
    </w:tbl>
    <w:p>
      <w:pPr>
        <w:pStyle w:val="BodyText"/>
        <w:spacing w:line="244" w:lineRule="auto" w:before="39"/>
        <w:ind w:left="887" w:right="435" w:hanging="682"/>
      </w:pPr>
      <w:r>
        <w:rPr>
          <w:spacing w:val="-1"/>
        </w:rPr>
        <w:t>註：</w:t>
      </w:r>
      <w:r>
        <w:rPr>
          <w:rFonts w:ascii="Times New Roman" w:hAnsi="Times New Roman" w:eastAsia="Times New Roman"/>
          <w:spacing w:val="-1"/>
        </w:rPr>
        <w:t>(1)</w:t>
      </w:r>
      <w:r>
        <w:rPr>
          <w:rFonts w:ascii="Times New Roman" w:hAnsi="Times New Roman" w:eastAsia="Times New Roman"/>
          <w:i/>
          <w:spacing w:val="-1"/>
        </w:rPr>
        <w:t>η</w:t>
      </w:r>
      <w:r>
        <w:rPr>
          <w:rFonts w:ascii="Times New Roman" w:hAnsi="Times New Roman" w:eastAsia="Times New Roman"/>
          <w:i/>
          <w:spacing w:val="28"/>
        </w:rPr>
        <w:t> </w:t>
      </w:r>
      <w:r>
        <w:rPr>
          <w:spacing w:val="-3"/>
        </w:rPr>
        <w:t>為額定滿載效率，實測滿載效率依 </w:t>
      </w:r>
      <w:r>
        <w:rPr>
          <w:rFonts w:ascii="Times New Roman" w:hAnsi="Times New Roman" w:eastAsia="Times New Roman"/>
        </w:rPr>
        <w:t>CNS14400</w:t>
      </w:r>
      <w:r>
        <w:rPr>
          <w:rFonts w:ascii="Times New Roman" w:hAnsi="Times New Roman" w:eastAsia="Times New Roman"/>
          <w:spacing w:val="28"/>
        </w:rPr>
        <w:t> </w:t>
      </w:r>
      <w:r>
        <w:rPr>
          <w:spacing w:val="-4"/>
        </w:rPr>
        <w:t>損失分離法或 </w:t>
      </w:r>
      <w:r>
        <w:rPr>
          <w:rFonts w:ascii="Times New Roman" w:hAnsi="Times New Roman" w:eastAsia="Times New Roman"/>
        </w:rPr>
        <w:t>IEC</w:t>
      </w:r>
      <w:r>
        <w:rPr>
          <w:rFonts w:ascii="Times New Roman" w:hAnsi="Times New Roman" w:eastAsia="Times New Roman"/>
          <w:spacing w:val="2"/>
        </w:rPr>
        <w:t> </w:t>
      </w:r>
      <w:r>
        <w:rPr>
          <w:rFonts w:ascii="Times New Roman" w:hAnsi="Times New Roman" w:eastAsia="Times New Roman"/>
        </w:rPr>
        <w:t>60034-2-1</w:t>
      </w:r>
      <w:r>
        <w:rPr>
          <w:rFonts w:ascii="Times New Roman" w:hAnsi="Times New Roman" w:eastAsia="Times New Roman"/>
          <w:spacing w:val="-52"/>
        </w:rPr>
        <w:t> </w:t>
      </w:r>
      <w:r>
        <w:rPr>
          <w:rFonts w:ascii="Times New Roman" w:hAnsi="Times New Roman" w:eastAsia="Times New Roman"/>
          <w:spacing w:val="-1"/>
        </w:rPr>
        <w:t>method</w:t>
      </w:r>
      <w:r>
        <w:rPr>
          <w:rFonts w:ascii="Times New Roman" w:hAnsi="Times New Roman" w:eastAsia="Times New Roman"/>
        </w:rPr>
        <w:t> 2-1-1B </w:t>
      </w:r>
      <w:r>
        <w:rPr>
          <w:spacing w:val="-27"/>
        </w:rPr>
        <w:t>或 </w:t>
      </w:r>
      <w:r>
        <w:rPr>
          <w:rFonts w:ascii="Times New Roman" w:hAnsi="Times New Roman" w:eastAsia="Times New Roman"/>
        </w:rPr>
        <w:t>IEEE 112 method B</w:t>
      </w:r>
      <w:r>
        <w:rPr>
          <w:rFonts w:ascii="Times New Roman" w:hAnsi="Times New Roman" w:eastAsia="Times New Roman"/>
          <w:spacing w:val="-1"/>
        </w:rPr>
        <w:t> </w:t>
      </w:r>
      <w:r>
        <w:rPr/>
        <w:t>之標準試驗。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2" w:lineRule="auto" w:before="46" w:after="0"/>
        <w:ind w:left="927" w:right="433" w:hanging="262"/>
        <w:jc w:val="both"/>
        <w:rPr>
          <w:sz w:val="22"/>
        </w:rPr>
      </w:pPr>
      <w:r>
        <w:rPr>
          <w:spacing w:val="-5"/>
          <w:sz w:val="22"/>
        </w:rPr>
        <w:t>額定輸出功率未達 </w:t>
      </w:r>
      <w:r>
        <w:rPr>
          <w:rFonts w:ascii="Times New Roman" w:eastAsia="Times New Roman"/>
          <w:spacing w:val="-1"/>
          <w:sz w:val="22"/>
        </w:rPr>
        <w:t>75</w:t>
      </w:r>
      <w:r>
        <w:rPr>
          <w:rFonts w:ascii="Times New Roman" w:eastAsia="Times New Roman"/>
          <w:sz w:val="22"/>
        </w:rPr>
        <w:t> </w:t>
      </w:r>
      <w:r>
        <w:rPr>
          <w:rFonts w:ascii="Times New Roman" w:eastAsia="Times New Roman"/>
          <w:spacing w:val="-1"/>
          <w:sz w:val="22"/>
        </w:rPr>
        <w:t>kW</w:t>
      </w:r>
      <w:r>
        <w:rPr>
          <w:rFonts w:ascii="Times New Roman" w:eastAsia="Times New Roman"/>
          <w:spacing w:val="26"/>
          <w:sz w:val="22"/>
        </w:rPr>
        <w:t> </w:t>
      </w:r>
      <w:r>
        <w:rPr>
          <w:sz w:val="22"/>
        </w:rPr>
        <w:t>之電動機，其額定滿載效率實測值與標示值不得低</w:t>
      </w:r>
      <w:r>
        <w:rPr>
          <w:spacing w:val="-28"/>
          <w:sz w:val="22"/>
        </w:rPr>
        <w:t>於 </w:t>
      </w:r>
      <w:r>
        <w:rPr>
          <w:rFonts w:ascii="Times New Roman" w:eastAsia="Times New Roman"/>
          <w:sz w:val="22"/>
        </w:rPr>
        <w:t>IE3</w:t>
      </w:r>
      <w:r>
        <w:rPr>
          <w:rFonts w:ascii="Times New Roman" w:eastAsia="Times New Roman"/>
          <w:spacing w:val="1"/>
          <w:sz w:val="22"/>
        </w:rPr>
        <w:t> </w:t>
      </w:r>
      <w:r>
        <w:rPr>
          <w:sz w:val="22"/>
        </w:rPr>
        <w:t>基準。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4" w:lineRule="auto" w:before="50" w:after="0"/>
        <w:ind w:left="927" w:right="430" w:hanging="262"/>
        <w:jc w:val="both"/>
        <w:rPr>
          <w:sz w:val="22"/>
        </w:rPr>
      </w:pPr>
      <w:r>
        <w:rPr>
          <w:sz w:val="22"/>
        </w:rPr>
        <w:t>電動機之滿載能源效率實測值計算至小數點後第一位，小數點後第二位四捨</w:t>
      </w:r>
      <w:r>
        <w:rPr>
          <w:spacing w:val="-3"/>
          <w:sz w:val="22"/>
        </w:rPr>
        <w:t>五入，且能源效率實測值效率損失不得高於產品標示值效率損失之 </w:t>
      </w:r>
      <w:r>
        <w:rPr>
          <w:rFonts w:ascii="Times New Roman" w:eastAsia="Times New Roman"/>
          <w:sz w:val="22"/>
        </w:rPr>
        <w:t>107%</w:t>
      </w:r>
      <w:r>
        <w:rPr>
          <w:sz w:val="22"/>
        </w:rPr>
        <w:t>。能源效率實測值效率損失為：</w:t>
      </w:r>
      <w:r>
        <w:rPr>
          <w:rFonts w:ascii="Times New Roman" w:eastAsia="Times New Roman"/>
          <w:sz w:val="22"/>
        </w:rPr>
        <w:t>100%</w:t>
      </w:r>
      <w:r>
        <w:rPr>
          <w:sz w:val="22"/>
        </w:rPr>
        <w:t>-滿載能源效率實測值，產品標示值效率損失為：</w:t>
      </w:r>
      <w:r>
        <w:rPr>
          <w:rFonts w:ascii="Times New Roman" w:eastAsia="Times New Roman"/>
          <w:sz w:val="22"/>
        </w:rPr>
        <w:t>100%</w:t>
      </w:r>
      <w:r>
        <w:rPr>
          <w:sz w:val="22"/>
        </w:rPr>
        <w:t>-滿載效率標示值。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4" w:lineRule="auto" w:before="43" w:after="0"/>
        <w:ind w:left="927" w:right="432" w:hanging="262"/>
        <w:jc w:val="left"/>
        <w:rPr>
          <w:sz w:val="22"/>
        </w:rPr>
      </w:pPr>
      <w:r>
        <w:rPr>
          <w:sz w:val="22"/>
        </w:rPr>
        <w:t>若未表列之額定輸出功率「大於或等於」其大一級額定輸出功率和小一級額定輸出功率之平均值，以大一級額定輸出功率之效率為檢驗標準。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2" w:lineRule="auto" w:before="47" w:after="0"/>
        <w:ind w:left="927" w:right="432" w:hanging="262"/>
        <w:jc w:val="left"/>
        <w:rPr>
          <w:sz w:val="22"/>
        </w:rPr>
      </w:pPr>
      <w:r>
        <w:rPr>
          <w:sz w:val="22"/>
        </w:rPr>
        <w:t>若未表列之額定輸出功率「小於」其大一級額定輸出功率和小一級額定輸出功率之平均值，以小一級額定輸出功率之效率為檢驗標準。</w:t>
      </w:r>
    </w:p>
    <w:sectPr>
      <w:type w:val="continuous"/>
      <w:pgSz w:w="11910" w:h="16840"/>
      <w:pgMar w:top="1040" w:bottom="2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(%1)"/>
      <w:lvlJc w:val="left"/>
      <w:pPr>
        <w:ind w:left="928" w:hanging="2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04" w:hanging="26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89" w:hanging="26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73" w:hanging="26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58" w:hanging="26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43" w:hanging="26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27" w:hanging="26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412" w:hanging="26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197" w:hanging="2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927" w:hanging="262"/>
    </w:pPr>
    <w:rPr>
      <w:rFonts w:ascii="SimSun" w:hAnsi="SimSun" w:eastAsia="SimSun" w:cs="SimSu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SimSun" w:hAnsi="SimSun" w:eastAsia="SimSun" w:cs="SimSun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927" w:right="432" w:hanging="262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  <w:ind w:left="113"/>
    </w:pPr>
    <w:rPr>
      <w:rFonts w:ascii="Times New Roman" w:hAnsi="Times New Roman" w:eastAsia="Times New Roman" w:cs="Times New Roma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2024-04-18T10:14:42Z</dcterms:created>
  <dcterms:modified xsi:type="dcterms:W3CDTF">2024-04-18T10:14:42Z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