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2E7" w:rsidRDefault="00B057D3">
      <w:pPr>
        <w:pStyle w:val="16PT--"/>
        <w:spacing w:line="560" w:lineRule="exact"/>
        <w:jc w:val="left"/>
        <w:rPr>
          <w:color w:val="000000"/>
          <w:sz w:val="40"/>
          <w:szCs w:val="40"/>
        </w:rPr>
      </w:pPr>
      <w:r>
        <w:rPr>
          <w:color w:val="000000"/>
          <w:sz w:val="40"/>
          <w:szCs w:val="40"/>
        </w:rPr>
        <w:t>中華民國一百十四年至一百十七年能源用戶訂定節約能源目標及執行計畫規定</w:t>
      </w:r>
    </w:p>
    <w:p w:rsidR="00F552E7" w:rsidRPr="005D1647" w:rsidRDefault="00B057D3">
      <w:pPr>
        <w:pStyle w:val="aff4"/>
        <w:numPr>
          <w:ilvl w:val="0"/>
          <w:numId w:val="4"/>
        </w:numPr>
        <w:spacing w:line="560" w:lineRule="exact"/>
        <w:ind w:left="737" w:hanging="737"/>
        <w:rPr>
          <w:rFonts w:ascii="標楷體" w:hAnsi="標楷體"/>
          <w:bCs/>
          <w:sz w:val="32"/>
          <w:szCs w:val="32"/>
        </w:rPr>
      </w:pPr>
      <w:r w:rsidRPr="005D1647">
        <w:rPr>
          <w:rFonts w:ascii="標楷體" w:hAnsi="標楷體"/>
          <w:bCs/>
          <w:color w:val="000000"/>
          <w:sz w:val="32"/>
          <w:szCs w:val="32"/>
        </w:rPr>
        <w:t>本規定所稱能源用戶，包括下列用戶：</w:t>
      </w:r>
    </w:p>
    <w:p w:rsidR="00F552E7" w:rsidRPr="005D1647" w:rsidRDefault="00B057D3">
      <w:pPr>
        <w:pStyle w:val="aff4"/>
        <w:numPr>
          <w:ilvl w:val="1"/>
          <w:numId w:val="5"/>
        </w:numPr>
        <w:spacing w:line="560" w:lineRule="exact"/>
        <w:ind w:left="1531" w:hanging="680"/>
        <w:rPr>
          <w:rFonts w:ascii="標楷體" w:hAnsi="標楷體"/>
          <w:bCs/>
          <w:sz w:val="32"/>
          <w:szCs w:val="32"/>
        </w:rPr>
      </w:pPr>
      <w:r w:rsidRPr="005D1647">
        <w:rPr>
          <w:rFonts w:ascii="標楷體" w:hAnsi="標楷體"/>
          <w:bCs/>
          <w:color w:val="000000"/>
          <w:sz w:val="32"/>
          <w:szCs w:val="32"/>
        </w:rPr>
        <w:t>契約用電容量超過八百瓩之電力用戶。</w:t>
      </w:r>
    </w:p>
    <w:p w:rsidR="00F552E7" w:rsidRPr="005D1647" w:rsidRDefault="00B057D3">
      <w:pPr>
        <w:pStyle w:val="aff4"/>
        <w:numPr>
          <w:ilvl w:val="1"/>
          <w:numId w:val="5"/>
        </w:numPr>
        <w:spacing w:line="560" w:lineRule="exact"/>
        <w:ind w:left="1531" w:hanging="680"/>
        <w:rPr>
          <w:rFonts w:ascii="標楷體" w:hAnsi="標楷體"/>
          <w:bCs/>
          <w:sz w:val="32"/>
          <w:szCs w:val="32"/>
        </w:rPr>
      </w:pPr>
      <w:r w:rsidRPr="005D1647">
        <w:rPr>
          <w:rFonts w:ascii="標楷體" w:hAnsi="標楷體"/>
          <w:bCs/>
          <w:color w:val="000000"/>
          <w:sz w:val="32"/>
          <w:szCs w:val="32"/>
        </w:rPr>
        <w:t>若前款電力用戶隸屬於具商工登記之同一法人、自然人或非法人團體，其契約容量應合併計算，並以該法人、自然人或非法人團體為能源用戶。</w:t>
      </w:r>
    </w:p>
    <w:p w:rsidR="00F552E7" w:rsidRPr="005D1647" w:rsidRDefault="00B057D3">
      <w:pPr>
        <w:spacing w:line="560" w:lineRule="exact"/>
        <w:ind w:left="737"/>
        <w:rPr>
          <w:rFonts w:ascii="標楷體" w:hAnsi="標楷體"/>
          <w:bCs/>
          <w:sz w:val="32"/>
          <w:szCs w:val="32"/>
        </w:rPr>
      </w:pPr>
      <w:r w:rsidRPr="005D1647">
        <w:rPr>
          <w:rFonts w:ascii="標楷體" w:hAnsi="標楷體"/>
          <w:bCs/>
          <w:color w:val="000000"/>
          <w:sz w:val="32"/>
          <w:szCs w:val="32"/>
        </w:rPr>
        <w:t>前項第一款電力用戶不包括下列用戶：</w:t>
      </w:r>
    </w:p>
    <w:p w:rsidR="00F552E7" w:rsidRPr="005D1647" w:rsidRDefault="00B057D3">
      <w:pPr>
        <w:pStyle w:val="aff4"/>
        <w:numPr>
          <w:ilvl w:val="0"/>
          <w:numId w:val="6"/>
        </w:numPr>
        <w:spacing w:line="560" w:lineRule="exact"/>
        <w:ind w:left="1417" w:hanging="624"/>
        <w:rPr>
          <w:rFonts w:ascii="標楷體" w:hAnsi="標楷體"/>
          <w:bCs/>
          <w:sz w:val="32"/>
          <w:szCs w:val="32"/>
        </w:rPr>
      </w:pPr>
      <w:r w:rsidRPr="005D1647">
        <w:rPr>
          <w:rFonts w:ascii="標楷體" w:hAnsi="標楷體"/>
          <w:bCs/>
          <w:color w:val="000000"/>
          <w:sz w:val="32"/>
          <w:szCs w:val="32"/>
        </w:rPr>
        <w:t>國軍部隊用戶。</w:t>
      </w:r>
    </w:p>
    <w:p w:rsidR="00F552E7" w:rsidRPr="005D1647" w:rsidRDefault="00B057D3">
      <w:pPr>
        <w:pStyle w:val="aff4"/>
        <w:numPr>
          <w:ilvl w:val="0"/>
          <w:numId w:val="6"/>
        </w:numPr>
        <w:spacing w:line="560" w:lineRule="exact"/>
        <w:ind w:left="1417" w:hanging="624"/>
        <w:rPr>
          <w:rFonts w:ascii="標楷體" w:hAnsi="標楷體"/>
          <w:bCs/>
          <w:sz w:val="32"/>
          <w:szCs w:val="32"/>
        </w:rPr>
      </w:pPr>
      <w:r w:rsidRPr="005D1647">
        <w:rPr>
          <w:rFonts w:ascii="標楷體" w:hAnsi="標楷體"/>
          <w:bCs/>
          <w:color w:val="000000"/>
          <w:sz w:val="32"/>
          <w:szCs w:val="32"/>
        </w:rPr>
        <w:t>車道及隧道用電用戶。</w:t>
      </w:r>
    </w:p>
    <w:p w:rsidR="00F552E7" w:rsidRPr="005D1647" w:rsidRDefault="00B057D3">
      <w:pPr>
        <w:pStyle w:val="aff4"/>
        <w:numPr>
          <w:ilvl w:val="0"/>
          <w:numId w:val="6"/>
        </w:numPr>
        <w:spacing w:line="560" w:lineRule="exact"/>
        <w:ind w:left="1417" w:hanging="624"/>
        <w:rPr>
          <w:rFonts w:ascii="標楷體" w:hAnsi="標楷體"/>
          <w:bCs/>
          <w:sz w:val="32"/>
          <w:szCs w:val="32"/>
        </w:rPr>
      </w:pPr>
      <w:r w:rsidRPr="005D1647">
        <w:rPr>
          <w:rFonts w:ascii="標楷體" w:hAnsi="標楷體"/>
          <w:bCs/>
          <w:color w:val="000000"/>
          <w:sz w:val="32"/>
          <w:szCs w:val="32"/>
        </w:rPr>
        <w:t>專供軌道車輛牽引用電用戶。</w:t>
      </w:r>
    </w:p>
    <w:p w:rsidR="00F552E7" w:rsidRPr="005D1647" w:rsidRDefault="00B057D3">
      <w:pPr>
        <w:pStyle w:val="aff4"/>
        <w:numPr>
          <w:ilvl w:val="0"/>
          <w:numId w:val="6"/>
        </w:numPr>
        <w:spacing w:line="560" w:lineRule="exact"/>
        <w:ind w:left="1417" w:hanging="624"/>
        <w:rPr>
          <w:rFonts w:ascii="標楷體" w:hAnsi="標楷體"/>
          <w:bCs/>
          <w:sz w:val="32"/>
          <w:szCs w:val="32"/>
        </w:rPr>
      </w:pPr>
      <w:r w:rsidRPr="005D1647">
        <w:rPr>
          <w:rFonts w:ascii="標楷體" w:hAnsi="標楷體"/>
          <w:bCs/>
          <w:color w:val="000000"/>
          <w:sz w:val="32"/>
          <w:szCs w:val="32"/>
        </w:rPr>
        <w:t>港埠裝卸作業用電用戶。</w:t>
      </w:r>
    </w:p>
    <w:p w:rsidR="00F552E7" w:rsidRPr="005D1647" w:rsidRDefault="00B057D3">
      <w:pPr>
        <w:pStyle w:val="aff4"/>
        <w:numPr>
          <w:ilvl w:val="0"/>
          <w:numId w:val="6"/>
        </w:numPr>
        <w:spacing w:line="560" w:lineRule="exact"/>
        <w:ind w:left="1417" w:hanging="624"/>
        <w:rPr>
          <w:rFonts w:ascii="標楷體" w:hAnsi="標楷體"/>
          <w:bCs/>
          <w:sz w:val="32"/>
          <w:szCs w:val="32"/>
        </w:rPr>
      </w:pPr>
      <w:r w:rsidRPr="005D1647">
        <w:rPr>
          <w:rFonts w:ascii="標楷體" w:hAnsi="標楷體"/>
          <w:bCs/>
          <w:color w:val="000000"/>
          <w:sz w:val="32"/>
          <w:szCs w:val="32"/>
        </w:rPr>
        <w:t>廣播電臺用電用戶。</w:t>
      </w:r>
    </w:p>
    <w:p w:rsidR="00F552E7" w:rsidRPr="005D1647" w:rsidRDefault="00B057D3">
      <w:pPr>
        <w:pStyle w:val="aff4"/>
        <w:numPr>
          <w:ilvl w:val="0"/>
          <w:numId w:val="6"/>
        </w:numPr>
        <w:spacing w:line="560" w:lineRule="exact"/>
        <w:ind w:left="1417" w:hanging="624"/>
        <w:rPr>
          <w:rFonts w:ascii="標楷體" w:hAnsi="標楷體"/>
          <w:bCs/>
          <w:sz w:val="32"/>
          <w:szCs w:val="32"/>
        </w:rPr>
      </w:pPr>
      <w:r w:rsidRPr="005D1647">
        <w:rPr>
          <w:rFonts w:ascii="標楷體" w:hAnsi="標楷體"/>
          <w:bCs/>
          <w:color w:val="000000"/>
          <w:sz w:val="32"/>
          <w:szCs w:val="32"/>
        </w:rPr>
        <w:t>專供營繕工程施工用電用戶。</w:t>
      </w:r>
    </w:p>
    <w:p w:rsidR="00F552E7" w:rsidRPr="005D1647" w:rsidRDefault="00B057D3">
      <w:pPr>
        <w:pStyle w:val="aff4"/>
        <w:numPr>
          <w:ilvl w:val="0"/>
          <w:numId w:val="6"/>
        </w:numPr>
        <w:spacing w:line="560" w:lineRule="exact"/>
        <w:ind w:left="1417" w:hanging="624"/>
        <w:rPr>
          <w:rFonts w:ascii="標楷體" w:hAnsi="標楷體"/>
          <w:bCs/>
          <w:sz w:val="32"/>
          <w:szCs w:val="32"/>
        </w:rPr>
      </w:pPr>
      <w:r w:rsidRPr="005D1647">
        <w:rPr>
          <w:rFonts w:ascii="標楷體" w:hAnsi="標楷體"/>
          <w:bCs/>
          <w:color w:val="000000"/>
          <w:sz w:val="32"/>
          <w:szCs w:val="32"/>
        </w:rPr>
        <w:t>臨時用電用戶。</w:t>
      </w:r>
    </w:p>
    <w:p w:rsidR="00F552E7" w:rsidRPr="005D1647" w:rsidRDefault="00B057D3">
      <w:pPr>
        <w:pStyle w:val="aff4"/>
        <w:numPr>
          <w:ilvl w:val="0"/>
          <w:numId w:val="6"/>
        </w:numPr>
        <w:spacing w:line="560" w:lineRule="exact"/>
        <w:ind w:left="1417" w:hanging="624"/>
        <w:rPr>
          <w:rFonts w:ascii="標楷體" w:hAnsi="標楷體"/>
          <w:bCs/>
          <w:sz w:val="32"/>
          <w:szCs w:val="32"/>
        </w:rPr>
      </w:pPr>
      <w:r w:rsidRPr="005D1647">
        <w:rPr>
          <w:rFonts w:ascii="標楷體" w:hAnsi="標楷體"/>
          <w:bCs/>
          <w:color w:val="000000"/>
          <w:sz w:val="32"/>
          <w:szCs w:val="32"/>
        </w:rPr>
        <w:t>依能源管理法第十六條第一項規定</w:t>
      </w:r>
      <w:r w:rsidRPr="005D1647">
        <w:rPr>
          <w:rFonts w:ascii="標楷體" w:hAnsi="標楷體"/>
          <w:bCs/>
          <w:color w:val="000000"/>
          <w:sz w:val="32"/>
          <w:szCs w:val="32"/>
          <w:lang w:eastAsia="zh-TW"/>
        </w:rPr>
        <w:t>製作能源使用說明書之新設用戶</w:t>
      </w:r>
      <w:r w:rsidRPr="005D1647">
        <w:rPr>
          <w:rFonts w:ascii="標楷體" w:hAnsi="標楷體"/>
          <w:bCs/>
          <w:color w:val="000000"/>
          <w:sz w:val="32"/>
          <w:szCs w:val="32"/>
        </w:rPr>
        <w:t>，</w:t>
      </w:r>
      <w:r w:rsidRPr="005D1647">
        <w:rPr>
          <w:rFonts w:ascii="標楷體" w:hAnsi="標楷體"/>
          <w:bCs/>
          <w:color w:val="000000"/>
          <w:sz w:val="32"/>
          <w:szCs w:val="32"/>
          <w:lang w:eastAsia="zh-TW"/>
        </w:rPr>
        <w:t>且</w:t>
      </w:r>
      <w:r w:rsidRPr="005D1647">
        <w:rPr>
          <w:rFonts w:ascii="標楷體" w:hAnsi="標楷體"/>
          <w:bCs/>
          <w:color w:val="000000"/>
          <w:sz w:val="32"/>
          <w:szCs w:val="32"/>
        </w:rPr>
        <w:t>經中央主管機關核准</w:t>
      </w:r>
      <w:r w:rsidRPr="005D1647">
        <w:rPr>
          <w:rFonts w:ascii="標楷體" w:hAnsi="標楷體"/>
          <w:bCs/>
          <w:color w:val="000000"/>
          <w:sz w:val="32"/>
          <w:szCs w:val="32"/>
          <w:lang w:eastAsia="zh-TW"/>
        </w:rPr>
        <w:t>該</w:t>
      </w:r>
      <w:r w:rsidRPr="005D1647">
        <w:rPr>
          <w:rFonts w:ascii="標楷體" w:hAnsi="標楷體"/>
          <w:bCs/>
          <w:color w:val="000000"/>
          <w:sz w:val="32"/>
          <w:szCs w:val="32"/>
        </w:rPr>
        <w:t>能源使用說明書</w:t>
      </w:r>
      <w:r w:rsidRPr="005D1647">
        <w:rPr>
          <w:rFonts w:ascii="標楷體" w:hAnsi="標楷體"/>
          <w:bCs/>
          <w:color w:val="000000"/>
          <w:sz w:val="32"/>
          <w:szCs w:val="32"/>
          <w:lang w:eastAsia="zh-TW"/>
        </w:rPr>
        <w:t>之日起算</w:t>
      </w:r>
      <w:r w:rsidRPr="005D1647">
        <w:rPr>
          <w:rFonts w:ascii="標楷體" w:hAnsi="標楷體"/>
          <w:bCs/>
          <w:color w:val="000000"/>
          <w:sz w:val="32"/>
          <w:szCs w:val="32"/>
        </w:rPr>
        <w:t>五年內</w:t>
      </w:r>
      <w:r w:rsidRPr="005D1647">
        <w:rPr>
          <w:rFonts w:ascii="標楷體" w:hAnsi="標楷體"/>
          <w:bCs/>
          <w:color w:val="000000"/>
          <w:sz w:val="32"/>
          <w:szCs w:val="32"/>
          <w:lang w:eastAsia="zh-TW"/>
        </w:rPr>
        <w:t>者</w:t>
      </w:r>
      <w:r w:rsidRPr="005D1647">
        <w:rPr>
          <w:rFonts w:ascii="標楷體" w:hAnsi="標楷體"/>
          <w:bCs/>
          <w:color w:val="000000"/>
          <w:sz w:val="32"/>
          <w:szCs w:val="32"/>
        </w:rPr>
        <w:t>。</w:t>
      </w:r>
    </w:p>
    <w:p w:rsidR="00F552E7" w:rsidRPr="005D1647" w:rsidRDefault="00B057D3">
      <w:pPr>
        <w:pStyle w:val="aff4"/>
        <w:numPr>
          <w:ilvl w:val="0"/>
          <w:numId w:val="6"/>
        </w:numPr>
        <w:spacing w:line="560" w:lineRule="exact"/>
        <w:ind w:left="1417" w:hanging="624"/>
        <w:rPr>
          <w:rFonts w:ascii="標楷體" w:hAnsi="標楷體"/>
          <w:bCs/>
          <w:sz w:val="32"/>
          <w:szCs w:val="32"/>
        </w:rPr>
      </w:pPr>
      <w:r w:rsidRPr="005D1647">
        <w:rPr>
          <w:rFonts w:ascii="標楷體" w:hAnsi="標楷體"/>
          <w:bCs/>
          <w:color w:val="000000"/>
          <w:sz w:val="32"/>
          <w:szCs w:val="32"/>
        </w:rPr>
        <w:t>適用公用售電業電動車充換電設施電價之用戶。</w:t>
      </w:r>
    </w:p>
    <w:p w:rsidR="00F552E7" w:rsidRPr="005D1647" w:rsidRDefault="00B057D3">
      <w:pPr>
        <w:pStyle w:val="aff4"/>
        <w:numPr>
          <w:ilvl w:val="0"/>
          <w:numId w:val="6"/>
        </w:numPr>
        <w:spacing w:line="560" w:lineRule="exact"/>
        <w:ind w:left="1417" w:hanging="624"/>
        <w:rPr>
          <w:rFonts w:ascii="標楷體" w:hAnsi="標楷體"/>
          <w:bCs/>
          <w:sz w:val="32"/>
          <w:szCs w:val="32"/>
        </w:rPr>
      </w:pPr>
      <w:r w:rsidRPr="005D1647">
        <w:rPr>
          <w:rFonts w:ascii="標楷體" w:hAnsi="標楷體"/>
          <w:bCs/>
          <w:color w:val="000000"/>
          <w:sz w:val="32"/>
          <w:szCs w:val="32"/>
        </w:rPr>
        <w:t>其他經中央主管機關認定之用戶。</w:t>
      </w:r>
    </w:p>
    <w:p w:rsidR="00F552E7" w:rsidRPr="005D1647" w:rsidRDefault="00B057D3">
      <w:pPr>
        <w:pStyle w:val="aff4"/>
        <w:numPr>
          <w:ilvl w:val="0"/>
          <w:numId w:val="4"/>
        </w:numPr>
        <w:spacing w:line="560" w:lineRule="exact"/>
        <w:rPr>
          <w:rFonts w:ascii="標楷體" w:hAnsi="標楷體"/>
          <w:bCs/>
          <w:sz w:val="32"/>
          <w:szCs w:val="32"/>
        </w:rPr>
      </w:pPr>
      <w:r w:rsidRPr="005D1647">
        <w:rPr>
          <w:rFonts w:ascii="標楷體" w:hAnsi="標楷體"/>
          <w:bCs/>
          <w:color w:val="000000"/>
          <w:sz w:val="32"/>
          <w:szCs w:val="32"/>
        </w:rPr>
        <w:t>本規定用詞定義如下：</w:t>
      </w:r>
    </w:p>
    <w:p w:rsidR="00F552E7" w:rsidRPr="005D1647" w:rsidRDefault="00B057D3">
      <w:pPr>
        <w:pStyle w:val="aff4"/>
        <w:numPr>
          <w:ilvl w:val="0"/>
          <w:numId w:val="7"/>
        </w:numPr>
        <w:spacing w:line="560" w:lineRule="exact"/>
        <w:ind w:left="1417" w:hanging="680"/>
        <w:rPr>
          <w:rFonts w:ascii="標楷體" w:hAnsi="標楷體"/>
          <w:bCs/>
          <w:sz w:val="32"/>
          <w:szCs w:val="32"/>
        </w:rPr>
      </w:pPr>
      <w:r w:rsidRPr="005D1647">
        <w:rPr>
          <w:rFonts w:ascii="標楷體" w:hAnsi="標楷體"/>
          <w:bCs/>
          <w:color w:val="000000"/>
          <w:sz w:val="32"/>
          <w:szCs w:val="32"/>
        </w:rPr>
        <w:t>節電措施：指能源用戶採行以下各種節約能源措施：</w:t>
      </w:r>
    </w:p>
    <w:p w:rsidR="00F552E7" w:rsidRPr="005D1647" w:rsidRDefault="00B057D3">
      <w:pPr>
        <w:pStyle w:val="aff4"/>
        <w:numPr>
          <w:ilvl w:val="1"/>
          <w:numId w:val="8"/>
        </w:numPr>
        <w:spacing w:line="560" w:lineRule="exact"/>
        <w:ind w:left="1928" w:hanging="624"/>
        <w:rPr>
          <w:rFonts w:ascii="標楷體" w:hAnsi="標楷體"/>
          <w:bCs/>
          <w:sz w:val="32"/>
          <w:szCs w:val="32"/>
        </w:rPr>
      </w:pPr>
      <w:r w:rsidRPr="005D1647">
        <w:rPr>
          <w:rFonts w:ascii="標楷體" w:hAnsi="標楷體"/>
          <w:bCs/>
          <w:color w:val="000000"/>
          <w:sz w:val="32"/>
          <w:szCs w:val="32"/>
        </w:rPr>
        <w:lastRenderedPageBreak/>
        <w:t>針對所使用之照明、動力、電熱、空調、冷凍冷藏或其他使用能源之設備，進行能源效率提升、維護保養、更換高效率設備或零件。</w:t>
      </w:r>
    </w:p>
    <w:p w:rsidR="00F552E7" w:rsidRPr="005D1647" w:rsidRDefault="00B057D3">
      <w:pPr>
        <w:pStyle w:val="aff4"/>
        <w:numPr>
          <w:ilvl w:val="1"/>
          <w:numId w:val="8"/>
        </w:numPr>
        <w:spacing w:line="560" w:lineRule="exact"/>
        <w:ind w:left="1928" w:hanging="624"/>
        <w:rPr>
          <w:rFonts w:ascii="標楷體" w:hAnsi="標楷體"/>
          <w:bCs/>
          <w:sz w:val="32"/>
          <w:szCs w:val="32"/>
        </w:rPr>
      </w:pPr>
      <w:r w:rsidRPr="005D1647">
        <w:rPr>
          <w:rFonts w:ascii="標楷體" w:hAnsi="標楷體"/>
          <w:bCs/>
          <w:color w:val="000000"/>
          <w:sz w:val="32"/>
          <w:szCs w:val="32"/>
        </w:rPr>
        <w:t>節約熱能措施，其換算節電量之方法如附件一。</w:t>
      </w:r>
    </w:p>
    <w:p w:rsidR="00F552E7" w:rsidRPr="005D1647" w:rsidRDefault="00B057D3" w:rsidP="005D1647">
      <w:pPr>
        <w:pStyle w:val="aff4"/>
        <w:numPr>
          <w:ilvl w:val="1"/>
          <w:numId w:val="8"/>
        </w:numPr>
        <w:spacing w:line="560" w:lineRule="exact"/>
        <w:ind w:left="1928" w:hanging="624"/>
        <w:rPr>
          <w:rFonts w:ascii="標楷體" w:hAnsi="標楷體"/>
          <w:bCs/>
          <w:sz w:val="32"/>
          <w:szCs w:val="32"/>
        </w:rPr>
      </w:pPr>
      <w:r w:rsidRPr="005D1647">
        <w:rPr>
          <w:color w:val="000000"/>
          <w:sz w:val="32"/>
          <w:szCs w:val="32"/>
        </w:rPr>
        <w:t>參與公用售電業之需量反應負載管理相關措施及電力交易平台方案，其節電量為實際抑低量（瓩）乘以抑低時數（小時）。</w:t>
      </w:r>
    </w:p>
    <w:p w:rsidR="00F552E7" w:rsidRPr="005D1647" w:rsidRDefault="00B057D3" w:rsidP="005D1647">
      <w:pPr>
        <w:pStyle w:val="aff4"/>
        <w:numPr>
          <w:ilvl w:val="1"/>
          <w:numId w:val="8"/>
        </w:numPr>
        <w:spacing w:line="560" w:lineRule="exact"/>
        <w:ind w:left="1928" w:hanging="624"/>
        <w:rPr>
          <w:color w:val="000000"/>
          <w:sz w:val="32"/>
          <w:szCs w:val="32"/>
        </w:rPr>
      </w:pPr>
      <w:r w:rsidRPr="005D1647">
        <w:rPr>
          <w:color w:val="000000"/>
          <w:sz w:val="32"/>
          <w:szCs w:val="32"/>
        </w:rPr>
        <w:t>設置再生能源發電設備供自用之電量。</w:t>
      </w:r>
    </w:p>
    <w:p w:rsidR="00F552E7" w:rsidRPr="005D1647" w:rsidRDefault="00B057D3" w:rsidP="005D1647">
      <w:pPr>
        <w:pStyle w:val="aff4"/>
        <w:numPr>
          <w:ilvl w:val="1"/>
          <w:numId w:val="8"/>
        </w:numPr>
        <w:spacing w:line="560" w:lineRule="exact"/>
        <w:ind w:left="1928" w:hanging="624"/>
        <w:rPr>
          <w:color w:val="000000"/>
          <w:sz w:val="32"/>
          <w:szCs w:val="32"/>
        </w:rPr>
      </w:pPr>
      <w:r w:rsidRPr="005D1647">
        <w:rPr>
          <w:color w:val="000000"/>
          <w:sz w:val="32"/>
          <w:szCs w:val="32"/>
        </w:rPr>
        <w:t>協助契約用電容量一百瓩至八百瓩且非屬「能源用戶應申報使用能源之種類、數量、項目、效率</w:t>
      </w:r>
      <w:bookmarkStart w:id="0" w:name="_GoBack"/>
      <w:bookmarkEnd w:id="0"/>
      <w:r w:rsidRPr="005D1647">
        <w:rPr>
          <w:color w:val="000000"/>
          <w:sz w:val="32"/>
          <w:szCs w:val="32"/>
        </w:rPr>
        <w:t>、申報期間及方式」納管之電力用戶更換</w:t>
      </w:r>
      <w:r w:rsidRPr="005D1647">
        <w:rPr>
          <w:color w:val="000000"/>
          <w:sz w:val="32"/>
          <w:szCs w:val="32"/>
        </w:rPr>
        <w:t>經中央主管機關</w:t>
      </w:r>
      <w:r w:rsidRPr="005D1647">
        <w:rPr>
          <w:color w:val="000000"/>
          <w:sz w:val="32"/>
          <w:szCs w:val="32"/>
        </w:rPr>
        <w:t>指定</w:t>
      </w:r>
      <w:r w:rsidRPr="005D1647">
        <w:rPr>
          <w:color w:val="000000"/>
          <w:sz w:val="32"/>
          <w:szCs w:val="32"/>
        </w:rPr>
        <w:t>為</w:t>
      </w:r>
      <w:r w:rsidRPr="005D1647">
        <w:rPr>
          <w:color w:val="000000"/>
          <w:sz w:val="32"/>
          <w:szCs w:val="32"/>
        </w:rPr>
        <w:t>高效率設備之節電量。</w:t>
      </w:r>
    </w:p>
    <w:p w:rsidR="00F552E7" w:rsidRPr="005D1647" w:rsidRDefault="00B057D3" w:rsidP="005D1647">
      <w:pPr>
        <w:pStyle w:val="aff4"/>
        <w:numPr>
          <w:ilvl w:val="1"/>
          <w:numId w:val="8"/>
        </w:numPr>
        <w:spacing w:line="560" w:lineRule="exact"/>
        <w:ind w:left="1928" w:hanging="624"/>
        <w:rPr>
          <w:rFonts w:ascii="標楷體" w:hAnsi="標楷體"/>
          <w:bCs/>
          <w:sz w:val="32"/>
          <w:szCs w:val="32"/>
        </w:rPr>
      </w:pPr>
      <w:r w:rsidRPr="005D1647">
        <w:rPr>
          <w:color w:val="000000"/>
          <w:sz w:val="32"/>
          <w:szCs w:val="32"/>
        </w:rPr>
        <w:t>其他經中央主管機關認定之措施。</w:t>
      </w:r>
    </w:p>
    <w:p w:rsidR="00F552E7" w:rsidRPr="005D1647" w:rsidRDefault="00B057D3">
      <w:pPr>
        <w:pStyle w:val="aff4"/>
        <w:numPr>
          <w:ilvl w:val="0"/>
          <w:numId w:val="7"/>
        </w:numPr>
        <w:spacing w:line="560" w:lineRule="exact"/>
        <w:ind w:left="1417" w:hanging="680"/>
        <w:rPr>
          <w:rFonts w:ascii="標楷體" w:hAnsi="標楷體"/>
          <w:bCs/>
          <w:sz w:val="32"/>
          <w:szCs w:val="32"/>
        </w:rPr>
      </w:pPr>
      <w:r w:rsidRPr="005D1647">
        <w:rPr>
          <w:rFonts w:cs="Times New Roman"/>
          <w:color w:val="000000"/>
          <w:sz w:val="32"/>
          <w:szCs w:val="32"/>
        </w:rPr>
        <w:t>年度節電量：指能源用戶實施節電措施，每年度節省之用電量，其計算期間，自實施日之次月起算，最多以十二個月為限，且不含補足「能源用戶訂定節約能源目標及執行計畫規定」所對應之節電量。但計算期間跨年度者，節省之用電量按年度分別計算。</w:t>
      </w:r>
    </w:p>
    <w:p w:rsidR="00F552E7" w:rsidRPr="005D1647" w:rsidRDefault="00B057D3">
      <w:pPr>
        <w:pStyle w:val="aff4"/>
        <w:numPr>
          <w:ilvl w:val="0"/>
          <w:numId w:val="7"/>
        </w:numPr>
        <w:spacing w:line="560" w:lineRule="exact"/>
        <w:ind w:left="1417" w:hanging="680"/>
        <w:rPr>
          <w:rFonts w:ascii="標楷體" w:hAnsi="標楷體"/>
          <w:bCs/>
          <w:sz w:val="32"/>
          <w:szCs w:val="32"/>
        </w:rPr>
      </w:pPr>
      <w:r w:rsidRPr="005D1647">
        <w:rPr>
          <w:rFonts w:cs="Times New Roman"/>
          <w:color w:val="000000"/>
          <w:sz w:val="32"/>
          <w:szCs w:val="32"/>
        </w:rPr>
        <w:t>累計節電量：指能源用戶自中華民國一百十四年起，加總計算各年度節電量至當年度止。</w:t>
      </w:r>
    </w:p>
    <w:p w:rsidR="00F552E7" w:rsidRPr="005D1647" w:rsidRDefault="00B057D3">
      <w:pPr>
        <w:pStyle w:val="aff4"/>
        <w:numPr>
          <w:ilvl w:val="0"/>
          <w:numId w:val="7"/>
        </w:numPr>
        <w:spacing w:line="560" w:lineRule="exact"/>
        <w:ind w:left="1417" w:hanging="680"/>
        <w:rPr>
          <w:rFonts w:ascii="標楷體" w:hAnsi="標楷體"/>
          <w:bCs/>
          <w:sz w:val="32"/>
          <w:szCs w:val="32"/>
        </w:rPr>
      </w:pPr>
      <w:r w:rsidRPr="005D1647">
        <w:rPr>
          <w:rFonts w:cs="Times New Roman"/>
          <w:color w:val="000000"/>
          <w:sz w:val="32"/>
          <w:szCs w:val="32"/>
        </w:rPr>
        <w:t>年度用電量：指能源用戶當年度購電量及自行發電量之總和，減去售電量所得值。</w:t>
      </w:r>
    </w:p>
    <w:p w:rsidR="00F552E7" w:rsidRPr="005D1647" w:rsidRDefault="00B057D3">
      <w:pPr>
        <w:pStyle w:val="aff4"/>
        <w:numPr>
          <w:ilvl w:val="0"/>
          <w:numId w:val="7"/>
        </w:numPr>
        <w:spacing w:line="560" w:lineRule="exact"/>
        <w:ind w:left="1417" w:hanging="680"/>
        <w:rPr>
          <w:rFonts w:ascii="標楷體" w:hAnsi="標楷體"/>
          <w:bCs/>
          <w:sz w:val="32"/>
          <w:szCs w:val="32"/>
        </w:rPr>
      </w:pPr>
      <w:r w:rsidRPr="005D1647">
        <w:rPr>
          <w:rFonts w:cs="Times New Roman"/>
          <w:color w:val="000000"/>
          <w:sz w:val="32"/>
          <w:szCs w:val="32"/>
        </w:rPr>
        <w:t>累計用電量：指自中華民國一百十四年起，加總計算各年度至當年度止之用電量總額。</w:t>
      </w:r>
    </w:p>
    <w:p w:rsidR="00F552E7" w:rsidRPr="005D1647" w:rsidRDefault="00B057D3">
      <w:pPr>
        <w:pStyle w:val="aff4"/>
        <w:numPr>
          <w:ilvl w:val="0"/>
          <w:numId w:val="7"/>
        </w:numPr>
        <w:spacing w:line="560" w:lineRule="exact"/>
        <w:ind w:left="1417" w:hanging="680"/>
        <w:rPr>
          <w:rFonts w:ascii="標楷體" w:hAnsi="標楷體"/>
          <w:bCs/>
          <w:sz w:val="32"/>
          <w:szCs w:val="32"/>
        </w:rPr>
      </w:pPr>
      <w:r w:rsidRPr="005D1647">
        <w:rPr>
          <w:rFonts w:cs="Times New Roman"/>
          <w:color w:val="000000"/>
          <w:sz w:val="32"/>
          <w:szCs w:val="32"/>
        </w:rPr>
        <w:lastRenderedPageBreak/>
        <w:t>前期超額節電量：指於中華民國一百零四年至一百十三年間執行「能源用戶訂定節約能源目標及執行計畫規定」，超過平均年節電率百分之一所對應之節電量，其計算方式如附件二。</w:t>
      </w:r>
    </w:p>
    <w:p w:rsidR="00F552E7" w:rsidRPr="005D1647" w:rsidRDefault="00B057D3">
      <w:pPr>
        <w:pStyle w:val="aff4"/>
        <w:numPr>
          <w:ilvl w:val="0"/>
          <w:numId w:val="7"/>
        </w:numPr>
        <w:spacing w:line="560" w:lineRule="exact"/>
        <w:ind w:left="1417" w:hanging="680"/>
        <w:rPr>
          <w:rFonts w:ascii="標楷體" w:hAnsi="標楷體"/>
          <w:bCs/>
          <w:sz w:val="32"/>
          <w:szCs w:val="32"/>
        </w:rPr>
      </w:pPr>
      <w:r w:rsidRPr="005D1647">
        <w:rPr>
          <w:rFonts w:cs="Times New Roman"/>
          <w:color w:val="000000"/>
          <w:sz w:val="32"/>
          <w:szCs w:val="32"/>
        </w:rPr>
        <w:t>年度節電率：指能源用戶當年度節電量，除以該年度節電量與年度用電量總和之比率。</w:t>
      </w:r>
    </w:p>
    <w:p w:rsidR="00F552E7" w:rsidRPr="005D1647" w:rsidRDefault="00B057D3">
      <w:pPr>
        <w:pStyle w:val="aff4"/>
        <w:numPr>
          <w:ilvl w:val="0"/>
          <w:numId w:val="7"/>
        </w:numPr>
        <w:spacing w:line="560" w:lineRule="exact"/>
        <w:ind w:left="1417" w:hanging="680"/>
        <w:rPr>
          <w:rFonts w:ascii="標楷體" w:hAnsi="標楷體"/>
          <w:bCs/>
          <w:sz w:val="32"/>
          <w:szCs w:val="32"/>
        </w:rPr>
      </w:pPr>
      <w:r w:rsidRPr="005D1647">
        <w:rPr>
          <w:rFonts w:cs="Times New Roman"/>
          <w:color w:val="000000"/>
          <w:sz w:val="32"/>
          <w:szCs w:val="32"/>
        </w:rPr>
        <w:t>平均年節電率：指能源用戶累計節電量加前期</w:t>
      </w:r>
      <w:r w:rsidRPr="005D1647">
        <w:rPr>
          <w:rFonts w:cs="Times New Roman"/>
          <w:color w:val="000000"/>
          <w:sz w:val="32"/>
          <w:szCs w:val="32"/>
        </w:rPr>
        <w:t>超額節電量總和，除以累計節電量加累計用電量總和之比率，其計算公式如附件三。</w:t>
      </w:r>
    </w:p>
    <w:p w:rsidR="00F552E7" w:rsidRPr="005D1647" w:rsidRDefault="00B057D3">
      <w:pPr>
        <w:pStyle w:val="aff4"/>
        <w:numPr>
          <w:ilvl w:val="0"/>
          <w:numId w:val="7"/>
        </w:numPr>
        <w:spacing w:line="560" w:lineRule="exact"/>
        <w:ind w:left="1417" w:hanging="680"/>
        <w:rPr>
          <w:rFonts w:ascii="標楷體" w:hAnsi="標楷體"/>
          <w:bCs/>
          <w:sz w:val="32"/>
          <w:szCs w:val="32"/>
        </w:rPr>
      </w:pPr>
      <w:r w:rsidRPr="005D1647">
        <w:rPr>
          <w:rFonts w:cs="Times New Roman"/>
          <w:color w:val="000000"/>
          <w:sz w:val="32"/>
          <w:szCs w:val="32"/>
        </w:rPr>
        <w:t>年度節電率目標：能源用戶依不同契約容量規模所定之年度節電率目標，如附件四。</w:t>
      </w:r>
    </w:p>
    <w:p w:rsidR="00F552E7" w:rsidRPr="005D1647" w:rsidRDefault="00B057D3">
      <w:pPr>
        <w:pStyle w:val="aff4"/>
        <w:numPr>
          <w:ilvl w:val="0"/>
          <w:numId w:val="7"/>
        </w:numPr>
        <w:spacing w:line="560" w:lineRule="exact"/>
        <w:ind w:left="1417" w:hanging="680"/>
        <w:rPr>
          <w:rFonts w:ascii="標楷體" w:hAnsi="標楷體"/>
          <w:bCs/>
          <w:sz w:val="32"/>
          <w:szCs w:val="32"/>
        </w:rPr>
      </w:pPr>
      <w:r w:rsidRPr="005D1647">
        <w:rPr>
          <w:rFonts w:cs="Times New Roman"/>
          <w:color w:val="000000"/>
          <w:sz w:val="32"/>
          <w:szCs w:val="32"/>
        </w:rPr>
        <w:t>平均年節電率目標：指依不同契約容量規模所定之平均年節電率目標，如附件四。</w:t>
      </w:r>
    </w:p>
    <w:p w:rsidR="00F552E7" w:rsidRPr="005D1647" w:rsidRDefault="00B057D3">
      <w:pPr>
        <w:pStyle w:val="aff4"/>
        <w:numPr>
          <w:ilvl w:val="0"/>
          <w:numId w:val="4"/>
        </w:numPr>
        <w:spacing w:line="560" w:lineRule="exact"/>
        <w:rPr>
          <w:rFonts w:ascii="標楷體" w:hAnsi="標楷體"/>
          <w:bCs/>
          <w:sz w:val="32"/>
          <w:szCs w:val="32"/>
        </w:rPr>
      </w:pPr>
      <w:r w:rsidRPr="005D1647">
        <w:rPr>
          <w:rFonts w:ascii="標楷體" w:hAnsi="標楷體"/>
          <w:bCs/>
          <w:color w:val="000000"/>
          <w:sz w:val="32"/>
          <w:szCs w:val="32"/>
        </w:rPr>
        <w:t>能源用戶訂定節約能源目標及執行計畫，其年度節電率應達當年度節電率目標以上。如有未達且無正當理由者，中央主管機關得就該能源用戶所提報之執行計畫，不予核定。</w:t>
      </w:r>
    </w:p>
    <w:p w:rsidR="00F552E7" w:rsidRPr="005D1647" w:rsidRDefault="00B057D3">
      <w:pPr>
        <w:pStyle w:val="aff4"/>
        <w:numPr>
          <w:ilvl w:val="0"/>
          <w:numId w:val="4"/>
        </w:numPr>
        <w:spacing w:line="560" w:lineRule="exact"/>
        <w:rPr>
          <w:rFonts w:ascii="標楷體" w:hAnsi="標楷體"/>
          <w:bCs/>
          <w:sz w:val="32"/>
          <w:szCs w:val="32"/>
        </w:rPr>
      </w:pPr>
      <w:r w:rsidRPr="005D1647">
        <w:rPr>
          <w:rFonts w:ascii="標楷體" w:hAnsi="標楷體"/>
          <w:bCs/>
          <w:color w:val="000000"/>
          <w:sz w:val="32"/>
          <w:szCs w:val="32"/>
        </w:rPr>
        <w:t>能源用戶應於每年</w:t>
      </w:r>
      <w:r w:rsidRPr="005D1647">
        <w:rPr>
          <w:rFonts w:ascii="標楷體" w:hAnsi="標楷體"/>
          <w:bCs/>
          <w:color w:val="000000"/>
          <w:sz w:val="32"/>
          <w:szCs w:val="32"/>
          <w:lang w:eastAsia="zh-TW"/>
        </w:rPr>
        <w:t>三</w:t>
      </w:r>
      <w:r w:rsidRPr="005D1647">
        <w:rPr>
          <w:rFonts w:ascii="標楷體" w:hAnsi="標楷體"/>
          <w:bCs/>
          <w:color w:val="000000"/>
          <w:sz w:val="32"/>
          <w:szCs w:val="32"/>
        </w:rPr>
        <w:t>月三十一日前，向中央主管機關申報前一年度節電措施執行情形、年度節電量、年度節電率及平均年節電率。</w:t>
      </w:r>
    </w:p>
    <w:p w:rsidR="00F552E7" w:rsidRPr="005D1647" w:rsidRDefault="00B057D3" w:rsidP="005D1647">
      <w:pPr>
        <w:pStyle w:val="aff4"/>
        <w:numPr>
          <w:ilvl w:val="0"/>
          <w:numId w:val="4"/>
        </w:numPr>
        <w:spacing w:line="560" w:lineRule="exact"/>
        <w:rPr>
          <w:rFonts w:ascii="標楷體" w:hAnsi="標楷體" w:hint="eastAsia"/>
          <w:bCs/>
          <w:sz w:val="32"/>
          <w:szCs w:val="44"/>
        </w:rPr>
      </w:pPr>
      <w:r w:rsidRPr="005D1647">
        <w:rPr>
          <w:rFonts w:ascii="標楷體" w:hAnsi="標楷體"/>
          <w:bCs/>
          <w:color w:val="000000"/>
          <w:sz w:val="32"/>
          <w:szCs w:val="32"/>
        </w:rPr>
        <w:t>能源用戶於中華民</w:t>
      </w:r>
      <w:r w:rsidRPr="005D1647">
        <w:rPr>
          <w:rFonts w:ascii="標楷體" w:hAnsi="標楷體"/>
          <w:bCs/>
          <w:color w:val="000000"/>
          <w:sz w:val="32"/>
          <w:szCs w:val="32"/>
        </w:rPr>
        <w:t>國一百十四年至一百十七年之平均年節電率應達平均年節電率目標以上。</w:t>
      </w:r>
    </w:p>
    <w:sectPr w:rsidR="00F552E7" w:rsidRPr="005D1647">
      <w:pgSz w:w="11906" w:h="16838"/>
      <w:pgMar w:top="1417" w:right="1417" w:bottom="1417" w:left="1701" w:header="0" w:footer="0" w:gutter="0"/>
      <w:cols w:space="720"/>
      <w:formProt w:val="0"/>
      <w:docGrid w:linePitch="312" w:charSpace="-14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7D3" w:rsidRDefault="00B057D3" w:rsidP="005D1647">
      <w:r>
        <w:separator/>
      </w:r>
    </w:p>
  </w:endnote>
  <w:endnote w:type="continuationSeparator" w:id="0">
    <w:p w:rsidR="00B057D3" w:rsidRDefault="00B057D3" w:rsidP="005D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88"/>
    <w:family w:val="roman"/>
    <w:pitch w:val="variable"/>
    <w:sig w:usb0="E0000AFF" w:usb1="500078FF" w:usb2="00000021" w:usb3="00000000" w:csb0="000001BF" w:csb1="00000000"/>
  </w:font>
  <w:font w:name="思源宋體">
    <w:panose1 w:val="02020400000000000000"/>
    <w:charset w:val="88"/>
    <w:family w:val="roman"/>
    <w:notTrueType/>
    <w:pitch w:val="variable"/>
    <w:sig w:usb0="30000287" w:usb1="2BDF3C10" w:usb2="00000016" w:usb3="00000000" w:csb0="003A0107"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Mono">
    <w:altName w:val="Courier New"/>
    <w:charset w:val="88"/>
    <w:family w:val="modern"/>
    <w:pitch w:val="fixed"/>
    <w:sig w:usb0="E0000AFF" w:usb1="400078FF" w:usb2="00000001" w:usb3="00000000" w:csb0="000001BF" w:csb1="00000000"/>
  </w:font>
  <w:font w:name="OpenSymbol">
    <w:altName w:val="Arial Unicode MS"/>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7D3" w:rsidRDefault="00B057D3" w:rsidP="005D1647">
      <w:r>
        <w:separator/>
      </w:r>
    </w:p>
  </w:footnote>
  <w:footnote w:type="continuationSeparator" w:id="0">
    <w:p w:rsidR="00B057D3" w:rsidRDefault="00B057D3" w:rsidP="005D1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4855"/>
    <w:multiLevelType w:val="multilevel"/>
    <w:tmpl w:val="2F3C7298"/>
    <w:lvl w:ilvl="0">
      <w:start w:val="1"/>
      <w:numFmt w:val="taiwaneseCountingThousand"/>
      <w:lvlText w:val="%1、"/>
      <w:lvlJc w:val="left"/>
      <w:pPr>
        <w:tabs>
          <w:tab w:val="num" w:pos="0"/>
        </w:tabs>
        <w:ind w:left="720" w:hanging="720"/>
      </w:pPr>
      <w:rPr>
        <w:rFonts w:cs="Times New Roman"/>
      </w:rPr>
    </w:lvl>
    <w:lvl w:ilvl="1">
      <w:start w:val="1"/>
      <w:numFmt w:val="taiwaneseCountingThousand"/>
      <w:lvlText w:val="(%2)"/>
      <w:lvlJc w:val="left"/>
      <w:pPr>
        <w:tabs>
          <w:tab w:val="num" w:pos="0"/>
        </w:tabs>
        <w:ind w:left="1200" w:hanging="72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 w15:restartNumberingAfterBreak="0">
    <w:nsid w:val="21BE348D"/>
    <w:multiLevelType w:val="multilevel"/>
    <w:tmpl w:val="79066F7A"/>
    <w:lvl w:ilvl="0">
      <w:start w:val="1"/>
      <w:numFmt w:val="decimal"/>
      <w:suff w:val="nothing"/>
      <w:lvlText w:val="%1、"/>
      <w:lvlJc w:val="left"/>
      <w:pPr>
        <w:tabs>
          <w:tab w:val="num" w:pos="0"/>
        </w:tabs>
        <w:ind w:left="425" w:hanging="425"/>
      </w:pPr>
    </w:lvl>
    <w:lvl w:ilvl="1">
      <w:start w:val="1"/>
      <w:numFmt w:val="decimal"/>
      <w:suff w:val="nothing"/>
      <w:lvlText w:val="(%2)"/>
      <w:lvlJc w:val="left"/>
      <w:pPr>
        <w:tabs>
          <w:tab w:val="num" w:pos="0"/>
        </w:tabs>
        <w:ind w:left="612" w:hanging="329"/>
      </w:pPr>
    </w:lvl>
    <w:lvl w:ilvl="2">
      <w:start w:val="1"/>
      <w:numFmt w:val="upperLetter"/>
      <w:lvlText w:val="%3、"/>
      <w:lvlJc w:val="left"/>
      <w:pPr>
        <w:tabs>
          <w:tab w:val="num" w:pos="1134"/>
        </w:tabs>
        <w:ind w:left="1134" w:hanging="567"/>
      </w:pPr>
    </w:lvl>
    <w:lvl w:ilvl="3">
      <w:start w:val="1"/>
      <w:numFmt w:val="upperLetter"/>
      <w:lvlText w:val="(%4)"/>
      <w:lvlJc w:val="left"/>
      <w:pPr>
        <w:tabs>
          <w:tab w:val="num" w:pos="1332"/>
        </w:tabs>
        <w:ind w:left="1332" w:hanging="482"/>
      </w:pPr>
    </w:lvl>
    <w:lvl w:ilvl="4">
      <w:start w:val="1"/>
      <w:numFmt w:val="lowerLetter"/>
      <w:lvlText w:val="%5、"/>
      <w:lvlJc w:val="left"/>
      <w:pPr>
        <w:tabs>
          <w:tab w:val="num" w:pos="1644"/>
        </w:tabs>
        <w:ind w:left="1644" w:hanging="510"/>
      </w:pPr>
    </w:lvl>
    <w:lvl w:ilvl="5">
      <w:start w:val="1"/>
      <w:numFmt w:val="lowerLetter"/>
      <w:lvlText w:val="(%6)"/>
      <w:lvlJc w:val="left"/>
      <w:pPr>
        <w:tabs>
          <w:tab w:val="num" w:pos="1843"/>
        </w:tabs>
        <w:ind w:left="1843" w:hanging="426"/>
      </w:pPr>
    </w:lvl>
    <w:lvl w:ilvl="6">
      <w:start w:val="1"/>
      <w:numFmt w:val="decimal"/>
      <w:suff w:val="nothing"/>
      <w:lvlText w:val=" %7."/>
      <w:lvlJc w:val="left"/>
      <w:pPr>
        <w:tabs>
          <w:tab w:val="num" w:pos="0"/>
        </w:tabs>
        <w:ind w:left="680" w:hanging="226"/>
      </w:pPr>
    </w:lvl>
    <w:lvl w:ilvl="7">
      <w:start w:val="1"/>
      <w:numFmt w:val="decimal"/>
      <w:suff w:val="nothing"/>
      <w:lvlText w:val=" %8."/>
      <w:lvlJc w:val="left"/>
      <w:pPr>
        <w:tabs>
          <w:tab w:val="num" w:pos="0"/>
        </w:tabs>
        <w:ind w:left="680" w:hanging="226"/>
      </w:pPr>
    </w:lvl>
    <w:lvl w:ilvl="8">
      <w:start w:val="1"/>
      <w:numFmt w:val="decimal"/>
      <w:suff w:val="nothing"/>
      <w:lvlText w:val=" %9."/>
      <w:lvlJc w:val="left"/>
      <w:pPr>
        <w:tabs>
          <w:tab w:val="num" w:pos="0"/>
        </w:tabs>
        <w:ind w:left="680" w:hanging="226"/>
      </w:pPr>
    </w:lvl>
  </w:abstractNum>
  <w:abstractNum w:abstractNumId="2" w15:restartNumberingAfterBreak="0">
    <w:nsid w:val="241321C4"/>
    <w:multiLevelType w:val="multilevel"/>
    <w:tmpl w:val="2E3AC78C"/>
    <w:lvl w:ilvl="0">
      <w:start w:val="1"/>
      <w:numFmt w:val="taiwaneseCountingThousand"/>
      <w:lvlText w:val="(%1)"/>
      <w:lvlJc w:val="left"/>
      <w:pPr>
        <w:tabs>
          <w:tab w:val="num" w:pos="0"/>
        </w:tabs>
        <w:ind w:left="960" w:hanging="480"/>
      </w:pPr>
      <w:rPr>
        <w:rFonts w:cs="Times New Roman"/>
        <w:sz w:val="37"/>
        <w:szCs w:val="37"/>
      </w:rPr>
    </w:lvl>
    <w:lvl w:ilvl="1">
      <w:start w:val="1"/>
      <w:numFmt w:val="ideographTraditional"/>
      <w:lvlText w:val="%2、"/>
      <w:lvlJc w:val="left"/>
      <w:pPr>
        <w:tabs>
          <w:tab w:val="num" w:pos="0"/>
        </w:tabs>
        <w:ind w:left="1440" w:hanging="480"/>
      </w:pPr>
      <w:rPr>
        <w:rFonts w:cs="Times New Roman"/>
      </w:rPr>
    </w:lvl>
    <w:lvl w:ilvl="2">
      <w:start w:val="1"/>
      <w:numFmt w:val="lowerRoman"/>
      <w:lvlText w:val="%3."/>
      <w:lvlJc w:val="right"/>
      <w:pPr>
        <w:tabs>
          <w:tab w:val="num" w:pos="0"/>
        </w:tabs>
        <w:ind w:left="1920" w:hanging="480"/>
      </w:pPr>
      <w:rPr>
        <w:rFonts w:cs="Times New Roman"/>
      </w:rPr>
    </w:lvl>
    <w:lvl w:ilvl="3">
      <w:start w:val="1"/>
      <w:numFmt w:val="decimal"/>
      <w:lvlText w:val="%4."/>
      <w:lvlJc w:val="left"/>
      <w:pPr>
        <w:tabs>
          <w:tab w:val="num" w:pos="0"/>
        </w:tabs>
        <w:ind w:left="2400" w:hanging="480"/>
      </w:pPr>
      <w:rPr>
        <w:rFonts w:cs="Times New Roman"/>
      </w:rPr>
    </w:lvl>
    <w:lvl w:ilvl="4">
      <w:start w:val="1"/>
      <w:numFmt w:val="ideographTraditional"/>
      <w:lvlText w:val="%5、"/>
      <w:lvlJc w:val="left"/>
      <w:pPr>
        <w:tabs>
          <w:tab w:val="num" w:pos="0"/>
        </w:tabs>
        <w:ind w:left="2880" w:hanging="480"/>
      </w:pPr>
      <w:rPr>
        <w:rFonts w:cs="Times New Roman"/>
      </w:rPr>
    </w:lvl>
    <w:lvl w:ilvl="5">
      <w:start w:val="1"/>
      <w:numFmt w:val="lowerRoman"/>
      <w:lvlText w:val="%6."/>
      <w:lvlJc w:val="right"/>
      <w:pPr>
        <w:tabs>
          <w:tab w:val="num" w:pos="0"/>
        </w:tabs>
        <w:ind w:left="3360" w:hanging="480"/>
      </w:pPr>
      <w:rPr>
        <w:rFonts w:cs="Times New Roman"/>
      </w:rPr>
    </w:lvl>
    <w:lvl w:ilvl="6">
      <w:start w:val="1"/>
      <w:numFmt w:val="decimal"/>
      <w:lvlText w:val="%7."/>
      <w:lvlJc w:val="left"/>
      <w:pPr>
        <w:tabs>
          <w:tab w:val="num" w:pos="0"/>
        </w:tabs>
        <w:ind w:left="3840" w:hanging="480"/>
      </w:pPr>
      <w:rPr>
        <w:rFonts w:cs="Times New Roman"/>
      </w:rPr>
    </w:lvl>
    <w:lvl w:ilvl="7">
      <w:start w:val="1"/>
      <w:numFmt w:val="ideographTraditional"/>
      <w:lvlText w:val="%8、"/>
      <w:lvlJc w:val="left"/>
      <w:pPr>
        <w:tabs>
          <w:tab w:val="num" w:pos="0"/>
        </w:tabs>
        <w:ind w:left="4320" w:hanging="480"/>
      </w:pPr>
      <w:rPr>
        <w:rFonts w:cs="Times New Roman"/>
      </w:rPr>
    </w:lvl>
    <w:lvl w:ilvl="8">
      <w:start w:val="1"/>
      <w:numFmt w:val="lowerRoman"/>
      <w:lvlText w:val="%9."/>
      <w:lvlJc w:val="right"/>
      <w:pPr>
        <w:tabs>
          <w:tab w:val="num" w:pos="0"/>
        </w:tabs>
        <w:ind w:left="4800" w:hanging="480"/>
      </w:pPr>
      <w:rPr>
        <w:rFonts w:cs="Times New Roman"/>
      </w:rPr>
    </w:lvl>
  </w:abstractNum>
  <w:abstractNum w:abstractNumId="3" w15:restartNumberingAfterBreak="0">
    <w:nsid w:val="4E710D75"/>
    <w:multiLevelType w:val="multilevel"/>
    <w:tmpl w:val="E632941E"/>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 w15:restartNumberingAfterBreak="0">
    <w:nsid w:val="52E1419A"/>
    <w:multiLevelType w:val="multilevel"/>
    <w:tmpl w:val="E5A820F8"/>
    <w:lvl w:ilvl="0">
      <w:start w:val="1"/>
      <w:numFmt w:val="decimal"/>
      <w:lvlText w:val="%1、"/>
      <w:lvlJc w:val="left"/>
      <w:pPr>
        <w:tabs>
          <w:tab w:val="num" w:pos="0"/>
        </w:tabs>
        <w:ind w:left="960" w:hanging="480"/>
      </w:pPr>
      <w:rPr>
        <w:rFonts w:cs="Times New Roman"/>
      </w:rPr>
    </w:lvl>
    <w:lvl w:ilvl="1">
      <w:start w:val="1"/>
      <w:numFmt w:val="decimal"/>
      <w:lvlText w:val="%2、"/>
      <w:lvlJc w:val="left"/>
      <w:pPr>
        <w:tabs>
          <w:tab w:val="num" w:pos="0"/>
        </w:tabs>
        <w:ind w:left="1440" w:hanging="480"/>
      </w:pPr>
      <w:rPr>
        <w:rFonts w:cs="Times New Roman"/>
        <w:sz w:val="37"/>
        <w:szCs w:val="37"/>
      </w:rPr>
    </w:lvl>
    <w:lvl w:ilvl="2">
      <w:start w:val="1"/>
      <w:numFmt w:val="lowerRoman"/>
      <w:lvlText w:val="%3."/>
      <w:lvlJc w:val="right"/>
      <w:pPr>
        <w:tabs>
          <w:tab w:val="num" w:pos="0"/>
        </w:tabs>
        <w:ind w:left="1920" w:hanging="480"/>
      </w:pPr>
      <w:rPr>
        <w:rFonts w:cs="Times New Roman"/>
      </w:rPr>
    </w:lvl>
    <w:lvl w:ilvl="3">
      <w:start w:val="1"/>
      <w:numFmt w:val="decimal"/>
      <w:lvlText w:val="%4."/>
      <w:lvlJc w:val="left"/>
      <w:pPr>
        <w:tabs>
          <w:tab w:val="num" w:pos="0"/>
        </w:tabs>
        <w:ind w:left="2400" w:hanging="480"/>
      </w:pPr>
      <w:rPr>
        <w:rFonts w:cs="Times New Roman"/>
      </w:rPr>
    </w:lvl>
    <w:lvl w:ilvl="4">
      <w:start w:val="1"/>
      <w:numFmt w:val="ideographTraditional"/>
      <w:lvlText w:val="%5、"/>
      <w:lvlJc w:val="left"/>
      <w:pPr>
        <w:tabs>
          <w:tab w:val="num" w:pos="0"/>
        </w:tabs>
        <w:ind w:left="2880" w:hanging="480"/>
      </w:pPr>
      <w:rPr>
        <w:rFonts w:cs="Times New Roman"/>
      </w:rPr>
    </w:lvl>
    <w:lvl w:ilvl="5">
      <w:start w:val="1"/>
      <w:numFmt w:val="lowerRoman"/>
      <w:lvlText w:val="%6."/>
      <w:lvlJc w:val="right"/>
      <w:pPr>
        <w:tabs>
          <w:tab w:val="num" w:pos="0"/>
        </w:tabs>
        <w:ind w:left="3360" w:hanging="480"/>
      </w:pPr>
      <w:rPr>
        <w:rFonts w:cs="Times New Roman"/>
      </w:rPr>
    </w:lvl>
    <w:lvl w:ilvl="6">
      <w:start w:val="1"/>
      <w:numFmt w:val="decimal"/>
      <w:lvlText w:val="%7."/>
      <w:lvlJc w:val="left"/>
      <w:pPr>
        <w:tabs>
          <w:tab w:val="num" w:pos="0"/>
        </w:tabs>
        <w:ind w:left="3840" w:hanging="480"/>
      </w:pPr>
      <w:rPr>
        <w:rFonts w:cs="Times New Roman"/>
      </w:rPr>
    </w:lvl>
    <w:lvl w:ilvl="7">
      <w:start w:val="1"/>
      <w:numFmt w:val="ideographTraditional"/>
      <w:lvlText w:val="%8、"/>
      <w:lvlJc w:val="left"/>
      <w:pPr>
        <w:tabs>
          <w:tab w:val="num" w:pos="0"/>
        </w:tabs>
        <w:ind w:left="4320" w:hanging="480"/>
      </w:pPr>
      <w:rPr>
        <w:rFonts w:cs="Times New Roman"/>
      </w:rPr>
    </w:lvl>
    <w:lvl w:ilvl="8">
      <w:start w:val="1"/>
      <w:numFmt w:val="lowerRoman"/>
      <w:lvlText w:val="%9."/>
      <w:lvlJc w:val="right"/>
      <w:pPr>
        <w:tabs>
          <w:tab w:val="num" w:pos="0"/>
        </w:tabs>
        <w:ind w:left="4800" w:hanging="480"/>
      </w:pPr>
      <w:rPr>
        <w:rFonts w:cs="Times New Roman"/>
      </w:rPr>
    </w:lvl>
  </w:abstractNum>
  <w:abstractNum w:abstractNumId="5" w15:restartNumberingAfterBreak="0">
    <w:nsid w:val="567D388D"/>
    <w:multiLevelType w:val="multilevel"/>
    <w:tmpl w:val="8402C070"/>
    <w:lvl w:ilvl="0">
      <w:start w:val="1"/>
      <w:numFmt w:val="decimal"/>
      <w:suff w:val="nothing"/>
      <w:lvlText w:val="%1、"/>
      <w:lvlJc w:val="left"/>
      <w:pPr>
        <w:tabs>
          <w:tab w:val="num" w:pos="0"/>
        </w:tabs>
        <w:ind w:left="357" w:hanging="357"/>
      </w:pPr>
      <w:rPr>
        <w:sz w:val="24"/>
      </w:rPr>
    </w:lvl>
    <w:lvl w:ilvl="1">
      <w:start w:val="1"/>
      <w:numFmt w:val="decimal"/>
      <w:suff w:val="nothing"/>
      <w:lvlText w:val="(%2)"/>
      <w:lvlJc w:val="left"/>
      <w:pPr>
        <w:tabs>
          <w:tab w:val="num" w:pos="0"/>
        </w:tabs>
        <w:ind w:left="499" w:hanging="272"/>
      </w:pPr>
      <w:rPr>
        <w:sz w:val="24"/>
      </w:rPr>
    </w:lvl>
    <w:lvl w:ilvl="2">
      <w:start w:val="1"/>
      <w:numFmt w:val="upperLetter"/>
      <w:lvlText w:val="%3、"/>
      <w:lvlJc w:val="left"/>
      <w:pPr>
        <w:tabs>
          <w:tab w:val="num" w:pos="935"/>
        </w:tabs>
        <w:ind w:left="935" w:hanging="481"/>
      </w:pPr>
      <w:rPr>
        <w:sz w:val="24"/>
      </w:rPr>
    </w:lvl>
    <w:lvl w:ilvl="3">
      <w:start w:val="1"/>
      <w:numFmt w:val="upperLetter"/>
      <w:lvlText w:val="(%4)"/>
      <w:lvlJc w:val="left"/>
      <w:pPr>
        <w:tabs>
          <w:tab w:val="num" w:pos="1106"/>
        </w:tabs>
        <w:ind w:left="1106" w:hanging="426"/>
      </w:pPr>
      <w:rPr>
        <w:sz w:val="24"/>
      </w:rPr>
    </w:lvl>
    <w:lvl w:ilvl="4">
      <w:start w:val="1"/>
      <w:numFmt w:val="lowerLetter"/>
      <w:lvlText w:val="%5、"/>
      <w:lvlJc w:val="left"/>
      <w:pPr>
        <w:tabs>
          <w:tab w:val="num" w:pos="1361"/>
        </w:tabs>
        <w:ind w:left="1361" w:hanging="454"/>
      </w:pPr>
      <w:rPr>
        <w:sz w:val="24"/>
      </w:rPr>
    </w:lvl>
    <w:lvl w:ilvl="5">
      <w:start w:val="1"/>
      <w:numFmt w:val="lowerLetter"/>
      <w:lvlText w:val="(%6)"/>
      <w:lvlJc w:val="left"/>
      <w:pPr>
        <w:tabs>
          <w:tab w:val="num" w:pos="1502"/>
        </w:tabs>
        <w:ind w:left="1502" w:hanging="368"/>
      </w:pPr>
      <w:rPr>
        <w:sz w:val="24"/>
      </w:rPr>
    </w:lvl>
    <w:lvl w:ilvl="6">
      <w:start w:val="1"/>
      <w:numFmt w:val="decimal"/>
      <w:suff w:val="nothing"/>
      <w:lvlText w:val=" %7."/>
      <w:lvlJc w:val="left"/>
      <w:pPr>
        <w:tabs>
          <w:tab w:val="num" w:pos="0"/>
        </w:tabs>
        <w:ind w:left="680" w:hanging="226"/>
      </w:pPr>
      <w:rPr>
        <w:sz w:val="24"/>
      </w:rPr>
    </w:lvl>
    <w:lvl w:ilvl="7">
      <w:start w:val="1"/>
      <w:numFmt w:val="decimal"/>
      <w:suff w:val="nothing"/>
      <w:lvlText w:val=" %8."/>
      <w:lvlJc w:val="left"/>
      <w:pPr>
        <w:tabs>
          <w:tab w:val="num" w:pos="0"/>
        </w:tabs>
        <w:ind w:left="680" w:hanging="226"/>
      </w:pPr>
      <w:rPr>
        <w:sz w:val="24"/>
      </w:rPr>
    </w:lvl>
    <w:lvl w:ilvl="8">
      <w:start w:val="1"/>
      <w:numFmt w:val="decimal"/>
      <w:suff w:val="nothing"/>
      <w:lvlText w:val=" %9."/>
      <w:lvlJc w:val="left"/>
      <w:pPr>
        <w:tabs>
          <w:tab w:val="num" w:pos="0"/>
        </w:tabs>
        <w:ind w:left="680" w:hanging="226"/>
      </w:pPr>
      <w:rPr>
        <w:sz w:val="24"/>
      </w:rPr>
    </w:lvl>
  </w:abstractNum>
  <w:abstractNum w:abstractNumId="6" w15:restartNumberingAfterBreak="0">
    <w:nsid w:val="5D4F5D73"/>
    <w:multiLevelType w:val="multilevel"/>
    <w:tmpl w:val="C1A09402"/>
    <w:lvl w:ilvl="0">
      <w:start w:val="1"/>
      <w:numFmt w:val="taiwaneseCountingThousand"/>
      <w:lvlText w:val="(%1)"/>
      <w:lvlJc w:val="left"/>
      <w:pPr>
        <w:tabs>
          <w:tab w:val="num" w:pos="0"/>
        </w:tabs>
        <w:ind w:left="960" w:hanging="480"/>
      </w:pPr>
      <w:rPr>
        <w:rFonts w:cs="Times New Roman"/>
        <w:sz w:val="37"/>
        <w:szCs w:val="37"/>
      </w:rPr>
    </w:lvl>
    <w:lvl w:ilvl="1">
      <w:start w:val="1"/>
      <w:numFmt w:val="decimal"/>
      <w:lvlText w:val="%2、"/>
      <w:lvlJc w:val="left"/>
      <w:pPr>
        <w:tabs>
          <w:tab w:val="num" w:pos="0"/>
        </w:tabs>
        <w:ind w:left="1680" w:hanging="720"/>
      </w:pPr>
      <w:rPr>
        <w:rFonts w:cs="Times New Roman"/>
      </w:rPr>
    </w:lvl>
    <w:lvl w:ilvl="2">
      <w:start w:val="1"/>
      <w:numFmt w:val="lowerRoman"/>
      <w:lvlText w:val="%3."/>
      <w:lvlJc w:val="right"/>
      <w:pPr>
        <w:tabs>
          <w:tab w:val="num" w:pos="0"/>
        </w:tabs>
        <w:ind w:left="1920" w:hanging="480"/>
      </w:pPr>
      <w:rPr>
        <w:rFonts w:cs="Times New Roman"/>
      </w:rPr>
    </w:lvl>
    <w:lvl w:ilvl="3">
      <w:start w:val="1"/>
      <w:numFmt w:val="decimal"/>
      <w:lvlText w:val="%4."/>
      <w:lvlJc w:val="left"/>
      <w:pPr>
        <w:tabs>
          <w:tab w:val="num" w:pos="0"/>
        </w:tabs>
        <w:ind w:left="2400" w:hanging="480"/>
      </w:pPr>
      <w:rPr>
        <w:rFonts w:cs="Times New Roman"/>
      </w:rPr>
    </w:lvl>
    <w:lvl w:ilvl="4">
      <w:start w:val="1"/>
      <w:numFmt w:val="ideographTraditional"/>
      <w:lvlText w:val="%5、"/>
      <w:lvlJc w:val="left"/>
      <w:pPr>
        <w:tabs>
          <w:tab w:val="num" w:pos="0"/>
        </w:tabs>
        <w:ind w:left="2880" w:hanging="480"/>
      </w:pPr>
      <w:rPr>
        <w:rFonts w:cs="Times New Roman"/>
      </w:rPr>
    </w:lvl>
    <w:lvl w:ilvl="5">
      <w:start w:val="1"/>
      <w:numFmt w:val="lowerRoman"/>
      <w:lvlText w:val="%6."/>
      <w:lvlJc w:val="right"/>
      <w:pPr>
        <w:tabs>
          <w:tab w:val="num" w:pos="0"/>
        </w:tabs>
        <w:ind w:left="3360" w:hanging="480"/>
      </w:pPr>
      <w:rPr>
        <w:rFonts w:cs="Times New Roman"/>
      </w:rPr>
    </w:lvl>
    <w:lvl w:ilvl="6">
      <w:start w:val="1"/>
      <w:numFmt w:val="decimal"/>
      <w:lvlText w:val="%7."/>
      <w:lvlJc w:val="left"/>
      <w:pPr>
        <w:tabs>
          <w:tab w:val="num" w:pos="0"/>
        </w:tabs>
        <w:ind w:left="3840" w:hanging="480"/>
      </w:pPr>
      <w:rPr>
        <w:rFonts w:cs="Times New Roman"/>
      </w:rPr>
    </w:lvl>
    <w:lvl w:ilvl="7">
      <w:start w:val="1"/>
      <w:numFmt w:val="ideographTraditional"/>
      <w:lvlText w:val="%8、"/>
      <w:lvlJc w:val="left"/>
      <w:pPr>
        <w:tabs>
          <w:tab w:val="num" w:pos="0"/>
        </w:tabs>
        <w:ind w:left="4320" w:hanging="480"/>
      </w:pPr>
      <w:rPr>
        <w:rFonts w:cs="Times New Roman"/>
      </w:rPr>
    </w:lvl>
    <w:lvl w:ilvl="8">
      <w:start w:val="1"/>
      <w:numFmt w:val="lowerRoman"/>
      <w:lvlText w:val="%9."/>
      <w:lvlJc w:val="right"/>
      <w:pPr>
        <w:tabs>
          <w:tab w:val="num" w:pos="0"/>
        </w:tabs>
        <w:ind w:left="4800" w:hanging="480"/>
      </w:pPr>
      <w:rPr>
        <w:rFonts w:cs="Times New Roman"/>
      </w:rPr>
    </w:lvl>
  </w:abstractNum>
  <w:abstractNum w:abstractNumId="7" w15:restartNumberingAfterBreak="0">
    <w:nsid w:val="61776DEB"/>
    <w:multiLevelType w:val="multilevel"/>
    <w:tmpl w:val="44D4D31A"/>
    <w:lvl w:ilvl="0">
      <w:start w:val="1"/>
      <w:numFmt w:val="taiwaneseCountingThousand"/>
      <w:lvlText w:val="(%1)"/>
      <w:lvlJc w:val="left"/>
      <w:pPr>
        <w:tabs>
          <w:tab w:val="num" w:pos="0"/>
        </w:tabs>
        <w:ind w:left="1200" w:hanging="480"/>
      </w:pPr>
      <w:rPr>
        <w:rFonts w:cs="Times New Roman"/>
      </w:rPr>
    </w:lvl>
    <w:lvl w:ilvl="1">
      <w:start w:val="1"/>
      <w:numFmt w:val="taiwaneseCountingThousand"/>
      <w:lvlText w:val="(%2)"/>
      <w:lvlJc w:val="left"/>
      <w:pPr>
        <w:tabs>
          <w:tab w:val="num" w:pos="0"/>
        </w:tabs>
        <w:ind w:left="960" w:hanging="480"/>
      </w:pPr>
      <w:rPr>
        <w:rFonts w:cs="Times New Roman"/>
        <w:sz w:val="37"/>
        <w:szCs w:val="37"/>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num w:numId="1">
    <w:abstractNumId w:val="3"/>
  </w:num>
  <w:num w:numId="2">
    <w:abstractNumId w:val="5"/>
  </w:num>
  <w:num w:numId="3">
    <w:abstractNumId w:val="1"/>
  </w:num>
  <w:num w:numId="4">
    <w:abstractNumId w:val="0"/>
  </w:num>
  <w:num w:numId="5">
    <w:abstractNumId w:val="7"/>
  </w:num>
  <w:num w:numId="6">
    <w:abstractNumId w:val="2"/>
  </w:num>
  <w:num w:numId="7">
    <w:abstractNumId w:val="6"/>
  </w:num>
  <w:num w:numId="8">
    <w:abstractNumId w:val="4"/>
  </w:num>
  <w:num w:numId="9">
    <w:abstractNumId w:val="1"/>
    <w:lvlOverride w:ilvl="0">
      <w:startOverride w:val="1"/>
    </w:lvlOverride>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67"/>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2E7"/>
    <w:rsid w:val="005D1647"/>
    <w:rsid w:val="00B057D3"/>
    <w:rsid w:val="00F552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5241A"/>
  <w15:docId w15:val="{5D8B093A-04E3-4D8B-A624-F44C8A60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標楷體" w:hAnsi="Times New Roman" w:cs="Mangal"/>
        <w:kern w:val="2"/>
        <w:sz w:val="28"/>
        <w:szCs w:val="24"/>
        <w:lang w:val="en-US" w:eastAsia="zh-TW"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kinsoku w:val="0"/>
      <w:overflowPunct w:val="0"/>
      <w:autoSpaceDE w:val="0"/>
      <w:jc w:val="both"/>
    </w:pPr>
    <w:rPr>
      <w:lang/>
    </w:rPr>
  </w:style>
  <w:style w:type="paragraph" w:styleId="2">
    <w:name w:val="heading 2"/>
    <w:basedOn w:val="a0"/>
    <w:next w:val="a1"/>
    <w:uiPriority w:val="9"/>
    <w:semiHidden/>
    <w:unhideWhenUsed/>
    <w:qFormat/>
    <w:pPr>
      <w:spacing w:before="200" w:after="120"/>
      <w:outlineLvl w:val="1"/>
    </w:pPr>
    <w:rPr>
      <w:rFonts w:ascii="Liberation Serif" w:eastAsia="思源宋體" w:hAnsi="Liberation Serif" w:cs="Lucida Sans"/>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編號字元"/>
    <w:qFormat/>
    <w:rPr>
      <w:sz w:val="27"/>
      <w:szCs w:val="27"/>
    </w:rPr>
  </w:style>
  <w:style w:type="character" w:customStyle="1" w:styleId="a6">
    <w:name w:val="使用者輸入"/>
    <w:qFormat/>
    <w:rPr>
      <w:rFonts w:ascii="Courier New" w:eastAsia="細明體" w:hAnsi="Courier New" w:cs="Courier New"/>
    </w:rPr>
  </w:style>
  <w:style w:type="character" w:customStyle="1" w:styleId="a7">
    <w:name w:val="電傳打字"/>
    <w:qFormat/>
    <w:rPr>
      <w:rFonts w:ascii="Courier New" w:eastAsia="細明體" w:hAnsi="Courier New" w:cs="Courier New"/>
    </w:rPr>
  </w:style>
  <w:style w:type="character" w:customStyle="1" w:styleId="1">
    <w:name w:val="引文1"/>
    <w:qFormat/>
    <w:rPr>
      <w:i/>
      <w:iCs/>
    </w:rPr>
  </w:style>
  <w:style w:type="character" w:customStyle="1" w:styleId="a8">
    <w:name w:val="可變"/>
    <w:qFormat/>
    <w:rPr>
      <w:i/>
      <w:iCs/>
    </w:rPr>
  </w:style>
  <w:style w:type="character" w:customStyle="1" w:styleId="a9">
    <w:name w:val="源碼"/>
    <w:qFormat/>
    <w:rPr>
      <w:rFonts w:ascii="Liberation Mono" w:eastAsia="細明體" w:hAnsi="Liberation Mono" w:cs="Liberation Mono"/>
    </w:rPr>
  </w:style>
  <w:style w:type="character" w:customStyle="1" w:styleId="aa">
    <w:name w:val="定義"/>
    <w:qFormat/>
  </w:style>
  <w:style w:type="character" w:customStyle="1" w:styleId="ab">
    <w:name w:val="注音標示"/>
    <w:qFormat/>
    <w:rPr>
      <w:sz w:val="12"/>
      <w:szCs w:val="12"/>
      <w:u w:val="none"/>
      <w:em w:val="none"/>
    </w:rPr>
  </w:style>
  <w:style w:type="character" w:styleId="ac">
    <w:name w:val="Emphasis"/>
    <w:qFormat/>
    <w:rPr>
      <w:i/>
      <w:iCs/>
    </w:rPr>
  </w:style>
  <w:style w:type="character" w:customStyle="1" w:styleId="ad">
    <w:name w:val="註腳字元"/>
    <w:qFormat/>
  </w:style>
  <w:style w:type="character" w:customStyle="1" w:styleId="ae">
    <w:name w:val="範例"/>
    <w:qFormat/>
    <w:rPr>
      <w:rFonts w:ascii="Liberation Mono" w:eastAsia="細明體" w:hAnsi="Liberation Mono" w:cs="Liberation Mono"/>
    </w:rPr>
  </w:style>
  <w:style w:type="character" w:customStyle="1" w:styleId="af">
    <w:name w:val="佔位項"/>
    <w:qFormat/>
    <w:rPr>
      <w:smallCaps/>
      <w:color w:val="008080"/>
      <w:u w:val="dotted"/>
    </w:rPr>
  </w:style>
  <w:style w:type="character" w:customStyle="1" w:styleId="10">
    <w:name w:val="項目符號1"/>
    <w:qFormat/>
    <w:rPr>
      <w:rFonts w:ascii="OpenSymbol" w:eastAsia="OpenSymbol" w:hAnsi="OpenSymbol" w:cs="OpenSymbol"/>
    </w:rPr>
  </w:style>
  <w:style w:type="character" w:customStyle="1" w:styleId="af0">
    <w:name w:val="圖表標示字元"/>
    <w:qFormat/>
  </w:style>
  <w:style w:type="character" w:customStyle="1" w:styleId="af1">
    <w:name w:val="①Ⓐ  字型"/>
    <w:qFormat/>
    <w:rPr>
      <w:rFonts w:ascii="MS Mincho" w:eastAsia="MS Mincho" w:hAnsi="MS Mincho"/>
    </w:rPr>
  </w:style>
  <w:style w:type="character" w:styleId="af2">
    <w:name w:val="Hyperlink"/>
    <w:rPr>
      <w:rFonts w:ascii="標楷體" w:hAnsi="標楷體"/>
      <w:color w:val="000080"/>
      <w:u w:val="single"/>
      <w:lang/>
    </w:rPr>
  </w:style>
  <w:style w:type="character" w:styleId="af3">
    <w:name w:val="FollowedHyperlink"/>
    <w:rPr>
      <w:rFonts w:ascii="標楷體" w:hAnsi="標楷體"/>
      <w:color w:val="800000"/>
      <w:u w:val="single"/>
      <w:lang/>
    </w:rPr>
  </w:style>
  <w:style w:type="character" w:customStyle="1" w:styleId="af4">
    <w:name w:val="主要索引條目"/>
    <w:qFormat/>
    <w:rPr>
      <w:b/>
      <w:bCs/>
    </w:rPr>
  </w:style>
  <w:style w:type="character" w:customStyle="1" w:styleId="16PT">
    <w:name w:val="16PT"/>
    <w:qFormat/>
    <w:rPr>
      <w:sz w:val="32"/>
    </w:rPr>
  </w:style>
  <w:style w:type="character" w:customStyle="1" w:styleId="12PT">
    <w:name w:val="12PT"/>
    <w:qFormat/>
    <w:rPr>
      <w:sz w:val="24"/>
    </w:rPr>
  </w:style>
  <w:style w:type="character" w:customStyle="1" w:styleId="14PT">
    <w:name w:val="14PT"/>
    <w:qFormat/>
  </w:style>
  <w:style w:type="character" w:customStyle="1" w:styleId="18PT">
    <w:name w:val="18PT"/>
    <w:qFormat/>
    <w:rPr>
      <w:sz w:val="36"/>
    </w:rPr>
  </w:style>
  <w:style w:type="paragraph" w:styleId="a0">
    <w:name w:val="Title"/>
    <w:basedOn w:val="a"/>
    <w:next w:val="a1"/>
    <w:uiPriority w:val="10"/>
    <w:qFormat/>
    <w:pPr>
      <w:keepNext/>
      <w:spacing w:line="276" w:lineRule="auto"/>
    </w:pPr>
    <w:rPr>
      <w:rFonts w:cs="Tahoma"/>
      <w:b/>
      <w:sz w:val="32"/>
      <w:szCs w:val="28"/>
    </w:rPr>
  </w:style>
  <w:style w:type="paragraph" w:styleId="a1">
    <w:name w:val="Body Text"/>
    <w:basedOn w:val="a"/>
    <w:rPr>
      <w:sz w:val="32"/>
    </w:rPr>
  </w:style>
  <w:style w:type="paragraph" w:customStyle="1" w:styleId="12PT--">
    <w:name w:val="12PT -- 對齊邊線"/>
    <w:basedOn w:val="a1"/>
    <w:qFormat/>
    <w:pPr>
      <w:spacing w:line="400" w:lineRule="exact"/>
    </w:pPr>
    <w:rPr>
      <w:sz w:val="24"/>
    </w:rPr>
  </w:style>
  <w:style w:type="paragraph" w:customStyle="1" w:styleId="14PT--">
    <w:name w:val="14PT -- 對齊邊線"/>
    <w:basedOn w:val="a1"/>
    <w:qFormat/>
    <w:rPr>
      <w:sz w:val="28"/>
    </w:rPr>
  </w:style>
  <w:style w:type="paragraph" w:customStyle="1" w:styleId="16PT--">
    <w:name w:val="16PT -- 對齊邊線"/>
    <w:basedOn w:val="a1"/>
    <w:qFormat/>
  </w:style>
  <w:style w:type="paragraph" w:customStyle="1" w:styleId="18PT--">
    <w:name w:val="18PT -- 對齊邊線"/>
    <w:basedOn w:val="a1"/>
    <w:qFormat/>
    <w:rPr>
      <w:sz w:val="36"/>
    </w:rPr>
  </w:style>
  <w:style w:type="paragraph" w:customStyle="1" w:styleId="12PT--1">
    <w:name w:val="12PT -- 邊線縮1字"/>
    <w:basedOn w:val="a1"/>
    <w:qFormat/>
    <w:pPr>
      <w:spacing w:line="403" w:lineRule="exact"/>
      <w:ind w:left="244"/>
    </w:pPr>
    <w:rPr>
      <w:sz w:val="24"/>
    </w:rPr>
  </w:style>
  <w:style w:type="paragraph" w:customStyle="1" w:styleId="12PT--2">
    <w:name w:val="12PT -- 邊線縮2字"/>
    <w:basedOn w:val="a1"/>
    <w:qFormat/>
    <w:pPr>
      <w:spacing w:line="403" w:lineRule="exact"/>
      <w:ind w:left="482"/>
    </w:pPr>
    <w:rPr>
      <w:sz w:val="24"/>
    </w:rPr>
  </w:style>
  <w:style w:type="paragraph" w:customStyle="1" w:styleId="12PT--20">
    <w:name w:val="12PT -- 對齊邊線  首字縮2字"/>
    <w:basedOn w:val="12PT--"/>
    <w:qFormat/>
    <w:pPr>
      <w:ind w:firstLine="482"/>
    </w:pPr>
  </w:style>
  <w:style w:type="paragraph" w:customStyle="1" w:styleId="12PT--21">
    <w:name w:val="12PT -- 對齊邊線  首字突2字"/>
    <w:basedOn w:val="12PT--"/>
    <w:qFormat/>
    <w:pPr>
      <w:ind w:left="482" w:hanging="482"/>
    </w:pPr>
  </w:style>
  <w:style w:type="paragraph" w:customStyle="1" w:styleId="12PT--12">
    <w:name w:val="12PT -- 邊線縮1字 首字突2字"/>
    <w:basedOn w:val="12PT--1"/>
    <w:qFormat/>
    <w:pPr>
      <w:ind w:left="726" w:hanging="482"/>
    </w:pPr>
  </w:style>
  <w:style w:type="paragraph" w:customStyle="1" w:styleId="12PT--120">
    <w:name w:val="12PT -- 邊線縮1字 首字縮2字"/>
    <w:basedOn w:val="12PT--1"/>
    <w:qFormat/>
    <w:pPr>
      <w:ind w:firstLine="482"/>
    </w:pPr>
  </w:style>
  <w:style w:type="paragraph" w:customStyle="1" w:styleId="12PT--22">
    <w:name w:val="12PT -- 邊線縮2字 首字突2字"/>
    <w:basedOn w:val="12PT--2"/>
    <w:qFormat/>
    <w:pPr>
      <w:ind w:left="964" w:hanging="482"/>
    </w:pPr>
  </w:style>
  <w:style w:type="paragraph" w:customStyle="1" w:styleId="12PT--220">
    <w:name w:val="12PT -- 邊線縮2字 首字縮2字"/>
    <w:basedOn w:val="12PT--2"/>
    <w:qFormat/>
    <w:pPr>
      <w:ind w:firstLine="482"/>
    </w:pPr>
  </w:style>
  <w:style w:type="paragraph" w:customStyle="1" w:styleId="14PT--2">
    <w:name w:val="14PT -- 對齊邊線 首字突2字"/>
    <w:basedOn w:val="14PT--"/>
    <w:qFormat/>
    <w:pPr>
      <w:ind w:left="567" w:hanging="567"/>
    </w:pPr>
  </w:style>
  <w:style w:type="paragraph" w:customStyle="1" w:styleId="14PT--20">
    <w:name w:val="14PT -- 對齊邊線 首字縮2字"/>
    <w:basedOn w:val="14PT--"/>
    <w:qFormat/>
    <w:pPr>
      <w:ind w:firstLine="567"/>
    </w:pPr>
  </w:style>
  <w:style w:type="paragraph" w:customStyle="1" w:styleId="14PT--1">
    <w:name w:val="14PT -- 邊線縮1字"/>
    <w:basedOn w:val="a1"/>
    <w:qFormat/>
    <w:pPr>
      <w:ind w:left="283"/>
    </w:pPr>
    <w:rPr>
      <w:sz w:val="28"/>
    </w:rPr>
  </w:style>
  <w:style w:type="paragraph" w:customStyle="1" w:styleId="14PT--12">
    <w:name w:val="14PT -- 邊線縮1字 首字突2字"/>
    <w:basedOn w:val="14PT--1"/>
    <w:qFormat/>
    <w:pPr>
      <w:ind w:left="850" w:hanging="567"/>
    </w:pPr>
  </w:style>
  <w:style w:type="paragraph" w:customStyle="1" w:styleId="14PT--120">
    <w:name w:val="14PT -- 邊線縮1字 首字縮2字"/>
    <w:basedOn w:val="14PT--1"/>
    <w:qFormat/>
    <w:pPr>
      <w:ind w:firstLine="567"/>
    </w:pPr>
  </w:style>
  <w:style w:type="paragraph" w:customStyle="1" w:styleId="14PT--21">
    <w:name w:val="14PT -- 邊線縮2字"/>
    <w:basedOn w:val="a1"/>
    <w:qFormat/>
    <w:pPr>
      <w:ind w:left="567"/>
    </w:pPr>
    <w:rPr>
      <w:sz w:val="28"/>
    </w:rPr>
  </w:style>
  <w:style w:type="paragraph" w:customStyle="1" w:styleId="14PT--22">
    <w:name w:val="14PT -- 邊線縮2字 首字突2字"/>
    <w:basedOn w:val="14PT--21"/>
    <w:qFormat/>
    <w:pPr>
      <w:ind w:left="1134" w:hanging="567"/>
    </w:pPr>
  </w:style>
  <w:style w:type="paragraph" w:customStyle="1" w:styleId="14PT--220">
    <w:name w:val="14PT -- 邊線縮2字 首字縮2字"/>
    <w:basedOn w:val="14PT--21"/>
    <w:qFormat/>
    <w:pPr>
      <w:ind w:firstLine="567"/>
    </w:pPr>
  </w:style>
  <w:style w:type="paragraph" w:customStyle="1" w:styleId="16PT--2">
    <w:name w:val="16PT -- 對齊邊線 首字突2字"/>
    <w:basedOn w:val="16PT--"/>
    <w:qFormat/>
    <w:pPr>
      <w:ind w:left="646" w:hanging="646"/>
    </w:pPr>
  </w:style>
  <w:style w:type="paragraph" w:customStyle="1" w:styleId="16PT--20">
    <w:name w:val="16PT -- 對齊邊線 首字縮2字"/>
    <w:basedOn w:val="16PT--"/>
    <w:qFormat/>
    <w:pPr>
      <w:ind w:firstLine="646"/>
    </w:pPr>
  </w:style>
  <w:style w:type="paragraph" w:customStyle="1" w:styleId="16PT--1">
    <w:name w:val="16PT -- 邊線縮1字"/>
    <w:basedOn w:val="a1"/>
    <w:qFormat/>
    <w:pPr>
      <w:ind w:left="323"/>
    </w:pPr>
  </w:style>
  <w:style w:type="paragraph" w:customStyle="1" w:styleId="16PT--12">
    <w:name w:val="16PT -- 邊線縮1字  首字突2字"/>
    <w:basedOn w:val="16PT--1"/>
    <w:qFormat/>
    <w:pPr>
      <w:ind w:left="969" w:hanging="646"/>
    </w:pPr>
  </w:style>
  <w:style w:type="paragraph" w:customStyle="1" w:styleId="16PT--120">
    <w:name w:val="16PT -- 邊線縮1字  首字縮2字"/>
    <w:basedOn w:val="16PT--1"/>
    <w:qFormat/>
    <w:pPr>
      <w:ind w:firstLine="646"/>
    </w:pPr>
  </w:style>
  <w:style w:type="paragraph" w:customStyle="1" w:styleId="16PT--21">
    <w:name w:val="16PT -- 邊線縮2字"/>
    <w:basedOn w:val="a1"/>
    <w:qFormat/>
    <w:pPr>
      <w:ind w:left="646"/>
    </w:pPr>
  </w:style>
  <w:style w:type="paragraph" w:customStyle="1" w:styleId="16PT--22">
    <w:name w:val="16PT -- 邊線縮2字 首字突2字"/>
    <w:basedOn w:val="16PT--21"/>
    <w:qFormat/>
    <w:pPr>
      <w:ind w:left="1293" w:hanging="646"/>
    </w:pPr>
  </w:style>
  <w:style w:type="paragraph" w:customStyle="1" w:styleId="16PT--220">
    <w:name w:val="16PT -- 邊線縮2字 首字縮2字"/>
    <w:basedOn w:val="16PT--21"/>
    <w:qFormat/>
    <w:pPr>
      <w:ind w:firstLine="646"/>
    </w:pPr>
  </w:style>
  <w:style w:type="paragraph" w:customStyle="1" w:styleId="18PT--2">
    <w:name w:val="18PT -- 對齊邊線 首字突2字"/>
    <w:basedOn w:val="18PT--"/>
    <w:qFormat/>
    <w:pPr>
      <w:ind w:left="731" w:hanging="731"/>
    </w:pPr>
  </w:style>
  <w:style w:type="paragraph" w:customStyle="1" w:styleId="18PT--20">
    <w:name w:val="18PT -- 對齊邊線 首字縮2字"/>
    <w:basedOn w:val="18PT--"/>
    <w:qFormat/>
    <w:pPr>
      <w:ind w:firstLine="731"/>
    </w:pPr>
  </w:style>
  <w:style w:type="paragraph" w:customStyle="1" w:styleId="18PT--1">
    <w:name w:val="18PT -- 邊線縮1字"/>
    <w:basedOn w:val="a1"/>
    <w:qFormat/>
    <w:pPr>
      <w:ind w:left="363"/>
    </w:pPr>
    <w:rPr>
      <w:sz w:val="36"/>
    </w:rPr>
  </w:style>
  <w:style w:type="paragraph" w:customStyle="1" w:styleId="18PT--12">
    <w:name w:val="18PT -- 邊線縮1字 首字突2字"/>
    <w:basedOn w:val="18PT--1"/>
    <w:qFormat/>
    <w:pPr>
      <w:ind w:left="1094" w:hanging="726"/>
    </w:pPr>
  </w:style>
  <w:style w:type="paragraph" w:customStyle="1" w:styleId="18PT--120">
    <w:name w:val="18PT -- 邊線縮1字 首字縮2字"/>
    <w:basedOn w:val="18PT--1"/>
    <w:qFormat/>
    <w:pPr>
      <w:ind w:firstLine="731"/>
    </w:pPr>
  </w:style>
  <w:style w:type="paragraph" w:customStyle="1" w:styleId="18PT--21">
    <w:name w:val="18PT -- 邊線縮2字"/>
    <w:basedOn w:val="a1"/>
    <w:qFormat/>
    <w:pPr>
      <w:ind w:left="731"/>
    </w:pPr>
    <w:rPr>
      <w:sz w:val="36"/>
    </w:rPr>
  </w:style>
  <w:style w:type="paragraph" w:customStyle="1" w:styleId="18PT--22">
    <w:name w:val="18PT -- 邊線縮2字 首字突2字"/>
    <w:basedOn w:val="18PT--21"/>
    <w:qFormat/>
    <w:pPr>
      <w:ind w:left="1457" w:hanging="731"/>
    </w:pPr>
  </w:style>
  <w:style w:type="paragraph" w:customStyle="1" w:styleId="18PT--220">
    <w:name w:val="18PT -- 邊線縮2字 首字縮2字"/>
    <w:basedOn w:val="18PT--21"/>
    <w:qFormat/>
    <w:pPr>
      <w:ind w:firstLine="731"/>
    </w:pPr>
  </w:style>
  <w:style w:type="paragraph" w:customStyle="1" w:styleId="af5">
    <w:name w:val="已先格式設定文字"/>
    <w:basedOn w:val="a"/>
    <w:autoRedefine/>
    <w:qFormat/>
    <w:rPr>
      <w:rFonts w:cs="Liberation Mono"/>
      <w:szCs w:val="20"/>
    </w:rPr>
  </w:style>
  <w:style w:type="paragraph" w:customStyle="1" w:styleId="af6">
    <w:name w:val="表格內容"/>
    <w:basedOn w:val="a"/>
    <w:qFormat/>
    <w:pPr>
      <w:suppressLineNumbers/>
    </w:pPr>
  </w:style>
  <w:style w:type="paragraph" w:styleId="af7">
    <w:name w:val="caption"/>
    <w:basedOn w:val="a"/>
    <w:qFormat/>
    <w:pPr>
      <w:suppressLineNumbers/>
      <w:spacing w:before="120" w:after="120"/>
    </w:pPr>
    <w:rPr>
      <w:i/>
      <w:iCs/>
      <w:sz w:val="20"/>
      <w:szCs w:val="20"/>
    </w:rPr>
  </w:style>
  <w:style w:type="paragraph" w:customStyle="1" w:styleId="af8">
    <w:name w:val="表格"/>
    <w:basedOn w:val="af7"/>
    <w:qFormat/>
    <w:pPr>
      <w:spacing w:before="0" w:after="0"/>
    </w:pPr>
  </w:style>
  <w:style w:type="paragraph" w:customStyle="1" w:styleId="af9">
    <w:name w:val="索引"/>
    <w:basedOn w:val="a"/>
    <w:qFormat/>
    <w:pPr>
      <w:suppressLineNumbers/>
    </w:pPr>
  </w:style>
  <w:style w:type="paragraph" w:customStyle="1" w:styleId="11">
    <w:name w:val="表格索引 1"/>
    <w:basedOn w:val="af9"/>
    <w:qFormat/>
    <w:pPr>
      <w:tabs>
        <w:tab w:val="right" w:leader="dot" w:pos="9638"/>
      </w:tabs>
    </w:pPr>
  </w:style>
  <w:style w:type="paragraph" w:styleId="afa">
    <w:name w:val="index heading"/>
    <w:basedOn w:val="a0"/>
    <w:pPr>
      <w:suppressLineNumbers/>
    </w:pPr>
    <w:rPr>
      <w:bCs/>
      <w:szCs w:val="32"/>
    </w:rPr>
  </w:style>
  <w:style w:type="paragraph" w:customStyle="1" w:styleId="afb">
    <w:name w:val="表格索引標題"/>
    <w:basedOn w:val="a0"/>
    <w:qFormat/>
    <w:pPr>
      <w:suppressLineNumbers/>
      <w:spacing w:line="240" w:lineRule="auto"/>
    </w:pPr>
    <w:rPr>
      <w:bCs/>
      <w:sz w:val="28"/>
      <w:szCs w:val="32"/>
    </w:rPr>
  </w:style>
  <w:style w:type="paragraph" w:customStyle="1" w:styleId="afc">
    <w:name w:val="表格標題"/>
    <w:basedOn w:val="af6"/>
    <w:qFormat/>
    <w:pPr>
      <w:jc w:val="center"/>
    </w:pPr>
    <w:rPr>
      <w:b/>
      <w:bCs/>
    </w:rPr>
  </w:style>
  <w:style w:type="paragraph" w:customStyle="1" w:styleId="afd">
    <w:name w:val="頁首與頁尾"/>
    <w:basedOn w:val="a"/>
    <w:qFormat/>
    <w:pPr>
      <w:suppressLineNumbers/>
      <w:tabs>
        <w:tab w:val="center" w:pos="4819"/>
        <w:tab w:val="right" w:pos="9638"/>
      </w:tabs>
    </w:pPr>
  </w:style>
  <w:style w:type="paragraph" w:styleId="afe">
    <w:name w:val="footer"/>
    <w:basedOn w:val="a"/>
    <w:pPr>
      <w:suppressLineNumbers/>
      <w:tabs>
        <w:tab w:val="center" w:pos="4819"/>
        <w:tab w:val="right" w:pos="9638"/>
      </w:tabs>
      <w:jc w:val="center"/>
    </w:pPr>
    <w:rPr>
      <w:sz w:val="24"/>
    </w:rPr>
  </w:style>
  <w:style w:type="paragraph" w:styleId="aff">
    <w:name w:val="header"/>
    <w:basedOn w:val="a"/>
    <w:pPr>
      <w:suppressLineNumbers/>
      <w:tabs>
        <w:tab w:val="center" w:pos="4819"/>
        <w:tab w:val="right" w:pos="9638"/>
      </w:tabs>
      <w:jc w:val="center"/>
    </w:pPr>
    <w:rPr>
      <w:sz w:val="36"/>
    </w:rPr>
  </w:style>
  <w:style w:type="paragraph" w:customStyle="1" w:styleId="aff0">
    <w:name w:val="外框內容"/>
    <w:basedOn w:val="a"/>
    <w:qFormat/>
  </w:style>
  <w:style w:type="paragraph" w:styleId="aff1">
    <w:name w:val="footnote text"/>
    <w:basedOn w:val="a"/>
    <w:pPr>
      <w:suppressLineNumbers/>
      <w:ind w:left="339" w:hanging="339"/>
    </w:pPr>
    <w:rPr>
      <w:sz w:val="20"/>
      <w:szCs w:val="20"/>
    </w:rPr>
  </w:style>
  <w:style w:type="paragraph" w:styleId="aff2">
    <w:name w:val="TOC Heading"/>
    <w:basedOn w:val="a0"/>
    <w:qFormat/>
    <w:pPr>
      <w:suppressLineNumbers/>
      <w:spacing w:after="113"/>
      <w:jc w:val="center"/>
    </w:pPr>
    <w:rPr>
      <w:bCs/>
      <w:sz w:val="40"/>
      <w:szCs w:val="32"/>
    </w:rPr>
  </w:style>
  <w:style w:type="paragraph" w:customStyle="1" w:styleId="aff3">
    <w:name w:val="文字"/>
    <w:basedOn w:val="af7"/>
    <w:qFormat/>
  </w:style>
  <w:style w:type="paragraph" w:styleId="12">
    <w:name w:val="toc 1"/>
    <w:basedOn w:val="af9"/>
    <w:pPr>
      <w:tabs>
        <w:tab w:val="right" w:leader="dot" w:pos="9638"/>
      </w:tabs>
    </w:pPr>
  </w:style>
  <w:style w:type="paragraph" w:styleId="7">
    <w:name w:val="toc 7"/>
    <w:basedOn w:val="af9"/>
    <w:pPr>
      <w:tabs>
        <w:tab w:val="right" w:leader="dot" w:pos="9638"/>
      </w:tabs>
      <w:ind w:left="1698"/>
    </w:pPr>
  </w:style>
  <w:style w:type="paragraph" w:styleId="20">
    <w:name w:val="toc 2"/>
    <w:basedOn w:val="af9"/>
    <w:pPr>
      <w:tabs>
        <w:tab w:val="right" w:leader="dot" w:pos="9638"/>
      </w:tabs>
      <w:ind w:left="283"/>
    </w:pPr>
  </w:style>
  <w:style w:type="paragraph" w:styleId="3">
    <w:name w:val="toc 3"/>
    <w:basedOn w:val="af9"/>
    <w:pPr>
      <w:tabs>
        <w:tab w:val="right" w:leader="dot" w:pos="9638"/>
      </w:tabs>
      <w:ind w:left="566"/>
    </w:pPr>
  </w:style>
  <w:style w:type="paragraph" w:styleId="4">
    <w:name w:val="toc 4"/>
    <w:basedOn w:val="af9"/>
    <w:pPr>
      <w:tabs>
        <w:tab w:val="right" w:leader="dot" w:pos="9638"/>
      </w:tabs>
      <w:ind w:left="849"/>
    </w:pPr>
  </w:style>
  <w:style w:type="paragraph" w:styleId="5">
    <w:name w:val="toc 5"/>
    <w:basedOn w:val="af9"/>
    <w:pPr>
      <w:tabs>
        <w:tab w:val="right" w:leader="dot" w:pos="9638"/>
      </w:tabs>
      <w:ind w:left="1132"/>
    </w:pPr>
  </w:style>
  <w:style w:type="paragraph" w:styleId="6">
    <w:name w:val="toc 6"/>
    <w:basedOn w:val="af9"/>
    <w:pPr>
      <w:tabs>
        <w:tab w:val="right" w:leader="dot" w:pos="9638"/>
      </w:tabs>
      <w:ind w:left="1415"/>
    </w:pPr>
  </w:style>
  <w:style w:type="paragraph" w:styleId="8">
    <w:name w:val="toc 8"/>
    <w:basedOn w:val="af9"/>
    <w:pPr>
      <w:tabs>
        <w:tab w:val="right" w:leader="dot" w:pos="9638"/>
      </w:tabs>
      <w:ind w:left="1981"/>
    </w:pPr>
  </w:style>
  <w:style w:type="paragraph" w:styleId="9">
    <w:name w:val="toc 9"/>
    <w:basedOn w:val="af9"/>
    <w:pPr>
      <w:tabs>
        <w:tab w:val="right" w:leader="dot" w:pos="9638"/>
      </w:tabs>
      <w:ind w:left="2264"/>
    </w:pPr>
  </w:style>
  <w:style w:type="paragraph" w:customStyle="1" w:styleId="100">
    <w:name w:val="目次 10"/>
    <w:basedOn w:val="af9"/>
    <w:qFormat/>
    <w:pPr>
      <w:tabs>
        <w:tab w:val="right" w:leader="dot" w:pos="9638"/>
      </w:tabs>
      <w:ind w:left="2547"/>
    </w:pPr>
  </w:style>
  <w:style w:type="paragraph" w:customStyle="1" w:styleId="13">
    <w:name w:val="表格內文1"/>
    <w:qFormat/>
    <w:rPr>
      <w:rFonts w:eastAsia="新細明體" w:cs="Times New Roman"/>
      <w:sz w:val="20"/>
      <w:szCs w:val="20"/>
      <w:lang w:bidi="ar-SA"/>
    </w:rPr>
  </w:style>
  <w:style w:type="paragraph" w:styleId="aff4">
    <w:name w:val="List Paragraph"/>
    <w:basedOn w:val="a"/>
    <w:qFormat/>
    <w:pPr>
      <w:ind w:left="480"/>
    </w:pPr>
  </w:style>
  <w:style w:type="paragraph" w:customStyle="1" w:styleId="14">
    <w:name w:val="引文1"/>
    <w:basedOn w:val="a"/>
    <w:qFormat/>
    <w:pPr>
      <w:spacing w:after="283"/>
      <w:ind w:left="567" w:right="567"/>
    </w:pPr>
  </w:style>
  <w:style w:type="numbering" w:customStyle="1" w:styleId="12PT--11AA">
    <w:name w:val="編號12PT -- 一、 (一)  1、 (1)  A、 (A)"/>
    <w:qFormat/>
  </w:style>
  <w:style w:type="numbering" w:customStyle="1" w:styleId="16PT--11AA">
    <w:name w:val="編號16PT -- 一、  (一)   1、  (1)   A、  (A)"/>
    <w:qFormat/>
  </w:style>
  <w:style w:type="numbering" w:customStyle="1" w:styleId="14PT--11AA">
    <w:name w:val="編號14PT -- 一、  (一)   1、  (1)   A、  (A)"/>
    <w:qFormat/>
  </w:style>
  <w:style w:type="numbering" w:customStyle="1" w:styleId="12PT--11AAaa">
    <w:name w:val="編號12PT -- 1、 (1)  A、 (A)  a、 (a)"/>
    <w:qFormat/>
  </w:style>
  <w:style w:type="numbering" w:customStyle="1" w:styleId="14PT--11AAaa">
    <w:name w:val="編號14PT -- 1、  (1)   A、  (A)   a、  (a)"/>
    <w:qFormat/>
  </w:style>
  <w:style w:type="numbering" w:customStyle="1" w:styleId="14PT--1AAa">
    <w:name w:val="編號14PT -- (1)  ①  A.  (A)   Ⓐ  a."/>
    <w:qFormat/>
  </w:style>
  <w:style w:type="numbering" w:customStyle="1" w:styleId="12PT--11AAa">
    <w:name w:val="編號12PT -- (一)  1、 (1)  A、 (A)  a、"/>
    <w:qFormat/>
  </w:style>
  <w:style w:type="numbering" w:customStyle="1" w:styleId="16PT--11AAa">
    <w:name w:val="編號16PT -- (一)   1、  (1)   A、  (A)   a、"/>
    <w:qFormat/>
  </w:style>
  <w:style w:type="numbering" w:customStyle="1" w:styleId="16PT--11A">
    <w:name w:val="編號16PT -- 壹、  一、  (一)   1、  (1)   A、"/>
    <w:qFormat/>
  </w:style>
  <w:style w:type="numbering" w:customStyle="1" w:styleId="14PT--11A">
    <w:name w:val="編號14PT -- 壹、  一、  (一)   1、  (1)   A、"/>
    <w:qFormat/>
  </w:style>
  <w:style w:type="numbering" w:customStyle="1" w:styleId="14PT--11AAa">
    <w:name w:val="編號14PT -- (一)   1、  (1)   A、  (A)   a、"/>
    <w:qFormat/>
  </w:style>
  <w:style w:type="numbering" w:customStyle="1" w:styleId="16PT--11AAaa">
    <w:name w:val="編號16PT -- 1、  (1)   A、  (A)   a、 (a)"/>
    <w:qFormat/>
  </w:style>
  <w:style w:type="numbering" w:customStyle="1" w:styleId="14PT--11AA0">
    <w:name w:val="編號14PT -- 1.  (1)  ①  A.  (A)  Ⓐ"/>
    <w:qFormat/>
  </w:style>
  <w:style w:type="numbering" w:customStyle="1" w:styleId="14PT--AAaa">
    <w:name w:val="編號14PT -- ①  A.  (A)   Ⓐ  a.   (a)"/>
    <w:qFormat/>
  </w:style>
  <w:style w:type="numbering" w:customStyle="1" w:styleId="12PT--11AAaa0">
    <w:name w:val="編號12PT -- 1.  (1)  A.  (A)  a.  (a)"/>
    <w:qFormat/>
  </w:style>
  <w:style w:type="numbering" w:customStyle="1" w:styleId="12PT--11A">
    <w:name w:val="編號12PT -- 壹、一、 (一)  1、 (1)  A、"/>
    <w:qFormat/>
  </w:style>
  <w:style w:type="numbering" w:customStyle="1" w:styleId="12PT--11AA0">
    <w:name w:val="編號12PT -- 壹、  一、  (一)   1.  (1)  甲、  (甲)  A.  (A)"/>
    <w:qFormat/>
  </w:style>
  <w:style w:type="numbering" w:customStyle="1" w:styleId="12PT--11AAa0">
    <w:name w:val="編號12PT -- (一)  1.   (1)  A.   (A)  a."/>
    <w:qFormat/>
  </w:style>
  <w:style w:type="numbering" w:customStyle="1" w:styleId="12PT--11AA1">
    <w:name w:val="編號12PT -- 一、 (一)  1.   (1)  A.   (A)"/>
    <w:qFormat/>
  </w:style>
  <w:style w:type="numbering" w:customStyle="1" w:styleId="14PT--11AAaa0">
    <w:name w:val="編號14PT -- 1.   (1)   A.   (A)   a.   (a)"/>
    <w:qFormat/>
  </w:style>
  <w:style w:type="numbering" w:customStyle="1" w:styleId="14PT--1AAaaa-1">
    <w:name w:val="編號14PT -- (1)  A.  (A)  a.   (a)   (a-1)"/>
    <w:qFormat/>
  </w:style>
  <w:style w:type="numbering" w:customStyle="1" w:styleId="14PT--11AAa0">
    <w:name w:val="編號14PT -- (一)   1.   (1)   A.   (A)   a."/>
    <w:qFormat/>
  </w:style>
  <w:style w:type="numbering" w:customStyle="1" w:styleId="14PT--11AA1">
    <w:name w:val="編號14PT -- 一、  (一)   1.   (1)   A.   (A)"/>
    <w:qFormat/>
  </w:style>
  <w:style w:type="numbering" w:customStyle="1" w:styleId="14PT--11AA2">
    <w:name w:val="編號14PT -- 壹、  一、  (一)   1.  (1)  甲、  (甲)  A.  (A)"/>
    <w:qFormat/>
  </w:style>
  <w:style w:type="numbering" w:customStyle="1" w:styleId="16PT--11AAaa0">
    <w:name w:val="編號16PT -- 1.     (1)   A.   (A)   a.    (a)"/>
    <w:qFormat/>
  </w:style>
  <w:style w:type="numbering" w:customStyle="1" w:styleId="16PT--11AAa0">
    <w:name w:val="編號16PT -- (一)   1.   (1)   A.  (A)   a."/>
    <w:qFormat/>
  </w:style>
  <w:style w:type="numbering" w:customStyle="1" w:styleId="16PT--11AA0">
    <w:name w:val="編號16PT -- 一、  (一)   1.    (1)   A.    (A)"/>
    <w:qFormat/>
  </w:style>
  <w:style w:type="numbering" w:customStyle="1" w:styleId="16PT--11AA1">
    <w:name w:val="編號16PT -- 壹、  一、  (一)   1.    (1)   甲、  (甲)  A.  (A)"/>
    <w:qFormat/>
  </w:style>
  <w:style w:type="numbering" w:customStyle="1" w:styleId="18PT--11AAaa">
    <w:name w:val="編號18PT -- 1、  (1)   A、  (A)   a、 (a)"/>
    <w:qFormat/>
  </w:style>
  <w:style w:type="numbering" w:customStyle="1" w:styleId="18PT--11AAaa0">
    <w:name w:val="編號18PT -- 1.     (1)   A.   (A)   a.    (a)"/>
    <w:qFormat/>
  </w:style>
  <w:style w:type="numbering" w:customStyle="1" w:styleId="18PT--11AAa">
    <w:name w:val="編號18PT -- (一)   1、  (1)   A、  (A)   a、"/>
    <w:qFormat/>
  </w:style>
  <w:style w:type="numbering" w:customStyle="1" w:styleId="18PT--11AAa0">
    <w:name w:val="編號18PT -- (一)   1.   (1)   A.  (A)   a."/>
    <w:qFormat/>
  </w:style>
  <w:style w:type="numbering" w:customStyle="1" w:styleId="18PT--11AA">
    <w:name w:val="編號18PT -- 一、  (一)   1、  (1)   A、  (A)"/>
    <w:qFormat/>
  </w:style>
  <w:style w:type="numbering" w:customStyle="1" w:styleId="18PT--11AA0">
    <w:name w:val="編號18PT -- 一、  (一)   1.    (1)   A.    (A)"/>
    <w:qFormat/>
  </w:style>
  <w:style w:type="numbering" w:customStyle="1" w:styleId="18PT--11A">
    <w:name w:val="編號18PT -- 壹、  一、  (一)   1、  (1)   A、"/>
    <w:qFormat/>
  </w:style>
  <w:style w:type="numbering" w:customStyle="1" w:styleId="18PT--11AA1">
    <w:name w:val="編號18PT -- 壹、  一、  (一)   1.    (1)   甲、  (甲)  A.  (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細明體"/>
        <a:cs typeface="DejaVu Sans"/>
      </a:majorFont>
      <a:minorFont>
        <a:latin typeface="Arial"/>
        <a:ea typeface="新細明體"/>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奕祥資訊</dc:creator>
  <dc:description/>
  <cp:lastModifiedBy>奕祥資訊</cp:lastModifiedBy>
  <cp:revision>2</cp:revision>
  <cp:lastPrinted>2024-12-19T19:39:00Z</cp:lastPrinted>
  <dcterms:created xsi:type="dcterms:W3CDTF">2025-01-02T08:43:00Z</dcterms:created>
  <dcterms:modified xsi:type="dcterms:W3CDTF">2025-01-02T08:43:00Z</dcterms:modified>
  <dc:language>zh-TW</dc:language>
</cp:coreProperties>
</file>