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E22" w:rsidRPr="009E77EC" w:rsidRDefault="00F76E22">
      <w:pPr>
        <w:rPr>
          <w:sz w:val="120"/>
          <w:szCs w:val="120"/>
        </w:rPr>
      </w:pPr>
      <w:bookmarkStart w:id="0" w:name="_GoBack"/>
      <w:bookmarkEnd w:id="0"/>
    </w:p>
    <w:p w:rsidR="00E92C0A" w:rsidRPr="009E77EC" w:rsidRDefault="00E92C0A">
      <w:pPr>
        <w:rPr>
          <w:sz w:val="120"/>
          <w:szCs w:val="120"/>
        </w:rPr>
      </w:pPr>
    </w:p>
    <w:p w:rsidR="00F76E22" w:rsidRPr="009E77EC" w:rsidRDefault="00F76E22" w:rsidP="0066509B">
      <w:pPr>
        <w:jc w:val="center"/>
        <w:rPr>
          <w:sz w:val="120"/>
        </w:rPr>
      </w:pPr>
      <w:r w:rsidRPr="009E77EC">
        <w:rPr>
          <w:sz w:val="120"/>
        </w:rPr>
        <w:t>附件</w:t>
      </w:r>
      <w:r w:rsidR="00F26602" w:rsidRPr="009E77EC">
        <w:rPr>
          <w:sz w:val="120"/>
        </w:rPr>
        <w:t>四</w:t>
      </w:r>
    </w:p>
    <w:p w:rsidR="00D532F0" w:rsidRPr="009E77EC" w:rsidRDefault="00F76E22">
      <w:pPr>
        <w:pStyle w:val="a4"/>
        <w:jc w:val="center"/>
        <w:rPr>
          <w:rFonts w:eastAsia="標楷體"/>
          <w:sz w:val="60"/>
        </w:rPr>
      </w:pPr>
      <w:r w:rsidRPr="009E77EC">
        <w:rPr>
          <w:rFonts w:eastAsia="標楷體"/>
          <w:sz w:val="60"/>
        </w:rPr>
        <w:t>石油基金</w:t>
      </w:r>
    </w:p>
    <w:p w:rsidR="00F76E22" w:rsidRPr="009E77EC" w:rsidRDefault="00F76E22">
      <w:pPr>
        <w:pStyle w:val="a4"/>
        <w:jc w:val="center"/>
        <w:rPr>
          <w:rFonts w:eastAsia="標楷體"/>
          <w:sz w:val="60"/>
        </w:rPr>
      </w:pPr>
      <w:r w:rsidRPr="009E77EC">
        <w:rPr>
          <w:rFonts w:eastAsia="標楷體"/>
          <w:sz w:val="60"/>
        </w:rPr>
        <w:t>獎勵石油開發技術研究發展計畫</w:t>
      </w:r>
    </w:p>
    <w:p w:rsidR="0066509B" w:rsidRPr="009E77EC" w:rsidRDefault="00F76E22">
      <w:pPr>
        <w:pStyle w:val="a4"/>
        <w:jc w:val="center"/>
        <w:rPr>
          <w:rFonts w:eastAsia="標楷體"/>
          <w:sz w:val="60"/>
        </w:rPr>
        <w:sectPr w:rsidR="0066509B" w:rsidRPr="009E77EC" w:rsidSect="0066509B">
          <w:footerReference w:type="even" r:id="rId8"/>
          <w:footerReference w:type="default" r:id="rId9"/>
          <w:footerReference w:type="first" r:id="rId10"/>
          <w:pgSz w:w="11907" w:h="16840" w:code="9"/>
          <w:pgMar w:top="1247" w:right="1276" w:bottom="1418" w:left="1304" w:header="720" w:footer="624" w:gutter="0"/>
          <w:pgNumType w:start="0"/>
          <w:cols w:space="720"/>
          <w:titlePg/>
          <w:docGrid w:type="lines" w:linePitch="373"/>
        </w:sectPr>
      </w:pPr>
      <w:r w:rsidRPr="009E77EC">
        <w:rPr>
          <w:rFonts w:eastAsia="標楷體"/>
          <w:sz w:val="60"/>
        </w:rPr>
        <w:t>經費補助範圍與編列原則</w:t>
      </w:r>
    </w:p>
    <w:p w:rsidR="00F76E22" w:rsidRPr="009E77EC" w:rsidRDefault="00F76E22" w:rsidP="00130749">
      <w:pPr>
        <w:pStyle w:val="a4"/>
        <w:jc w:val="center"/>
        <w:rPr>
          <w:rFonts w:eastAsia="標楷體"/>
          <w:b/>
          <w:sz w:val="32"/>
        </w:rPr>
      </w:pPr>
      <w:r w:rsidRPr="009E77EC">
        <w:rPr>
          <w:rFonts w:eastAsia="標楷體"/>
          <w:b/>
          <w:sz w:val="32"/>
        </w:rPr>
        <w:lastRenderedPageBreak/>
        <w:t>石油基金獎勵石油開發技術研究發展計畫經費補助範圍與編列原則</w:t>
      </w:r>
    </w:p>
    <w:p w:rsidR="00F76E22" w:rsidRPr="009E77EC" w:rsidRDefault="00F76E22">
      <w:pPr>
        <w:pStyle w:val="a3"/>
        <w:tabs>
          <w:tab w:val="left" w:pos="4440"/>
        </w:tabs>
        <w:kinsoku w:val="0"/>
        <w:overflowPunct w:val="0"/>
        <w:snapToGrid w:val="0"/>
        <w:spacing w:line="240" w:lineRule="atLeast"/>
        <w:jc w:val="left"/>
        <w:rPr>
          <w:rFonts w:eastAsia="標楷體"/>
          <w:b/>
          <w:sz w:val="24"/>
        </w:rPr>
      </w:pPr>
    </w:p>
    <w:p w:rsidR="00F76E22" w:rsidRPr="009E77EC" w:rsidRDefault="00F76E22">
      <w:pPr>
        <w:pStyle w:val="a3"/>
        <w:tabs>
          <w:tab w:val="left" w:pos="4440"/>
        </w:tabs>
        <w:kinsoku w:val="0"/>
        <w:overflowPunct w:val="0"/>
        <w:snapToGrid w:val="0"/>
        <w:spacing w:line="240" w:lineRule="atLeast"/>
        <w:jc w:val="left"/>
        <w:rPr>
          <w:rFonts w:eastAsia="標楷體"/>
          <w:b/>
          <w:sz w:val="24"/>
        </w:rPr>
      </w:pPr>
      <w:r w:rsidRPr="009E77EC">
        <w:rPr>
          <w:rFonts w:eastAsia="標楷體"/>
          <w:b/>
          <w:sz w:val="24"/>
        </w:rPr>
        <w:t>壹、經費補助範圍</w:t>
      </w:r>
    </w:p>
    <w:p w:rsidR="00F76E22" w:rsidRPr="009E77EC" w:rsidRDefault="00F76E22">
      <w:pPr>
        <w:pStyle w:val="a3"/>
        <w:tabs>
          <w:tab w:val="left" w:pos="4440"/>
        </w:tabs>
        <w:kinsoku w:val="0"/>
        <w:overflowPunct w:val="0"/>
        <w:spacing w:line="240" w:lineRule="atLeast"/>
        <w:jc w:val="left"/>
        <w:rPr>
          <w:rFonts w:eastAsia="標楷體"/>
          <w:sz w:val="24"/>
        </w:rPr>
      </w:pPr>
      <w:r w:rsidRPr="009E77EC">
        <w:rPr>
          <w:rFonts w:eastAsia="標楷體"/>
          <w:sz w:val="24"/>
        </w:rPr>
        <w:t>本基金提供之補助款，其補助範圍如下：</w:t>
      </w:r>
    </w:p>
    <w:p w:rsidR="00F76E22" w:rsidRPr="009E77EC" w:rsidRDefault="00F76E22">
      <w:pPr>
        <w:pStyle w:val="a3"/>
        <w:tabs>
          <w:tab w:val="left" w:pos="4440"/>
        </w:tabs>
        <w:kinsoku w:val="0"/>
        <w:overflowPunct w:val="0"/>
        <w:spacing w:line="240" w:lineRule="atLeast"/>
        <w:ind w:left="486"/>
        <w:jc w:val="both"/>
        <w:rPr>
          <w:rFonts w:eastAsia="標楷體"/>
          <w:sz w:val="24"/>
        </w:rPr>
      </w:pPr>
      <w:r w:rsidRPr="009E77EC">
        <w:rPr>
          <w:rFonts w:eastAsia="標楷體"/>
          <w:sz w:val="24"/>
        </w:rPr>
        <w:t>(</w:t>
      </w:r>
      <w:r w:rsidRPr="009E77EC">
        <w:rPr>
          <w:rFonts w:eastAsia="標楷體"/>
          <w:sz w:val="24"/>
        </w:rPr>
        <w:t>一</w:t>
      </w:r>
      <w:r w:rsidRPr="009E77EC">
        <w:rPr>
          <w:rFonts w:eastAsia="標楷體"/>
          <w:sz w:val="24"/>
        </w:rPr>
        <w:t>)</w:t>
      </w:r>
      <w:r w:rsidRPr="009E77EC">
        <w:rPr>
          <w:rFonts w:eastAsia="標楷體"/>
          <w:sz w:val="24"/>
        </w:rPr>
        <w:t>參與計畫之專職或兼職研究相關人員人事費。</w:t>
      </w:r>
    </w:p>
    <w:p w:rsidR="00F76E22" w:rsidRPr="009E77EC" w:rsidRDefault="00F76E22">
      <w:pPr>
        <w:pStyle w:val="a3"/>
        <w:tabs>
          <w:tab w:val="left" w:pos="4440"/>
        </w:tabs>
        <w:kinsoku w:val="0"/>
        <w:overflowPunct w:val="0"/>
        <w:spacing w:line="240" w:lineRule="atLeast"/>
        <w:ind w:left="486"/>
        <w:jc w:val="both"/>
        <w:rPr>
          <w:rFonts w:eastAsia="標楷體"/>
          <w:sz w:val="24"/>
        </w:rPr>
      </w:pPr>
      <w:r w:rsidRPr="009E77EC">
        <w:rPr>
          <w:rFonts w:eastAsia="標楷體"/>
          <w:sz w:val="24"/>
        </w:rPr>
        <w:t>(</w:t>
      </w:r>
      <w:r w:rsidRPr="009E77EC">
        <w:rPr>
          <w:rFonts w:eastAsia="標楷體"/>
          <w:sz w:val="24"/>
        </w:rPr>
        <w:t>二</w:t>
      </w:r>
      <w:r w:rsidRPr="009E77EC">
        <w:rPr>
          <w:rFonts w:eastAsia="標楷體"/>
          <w:sz w:val="24"/>
        </w:rPr>
        <w:t>)</w:t>
      </w:r>
      <w:r w:rsidRPr="009E77EC">
        <w:rPr>
          <w:rFonts w:eastAsia="標楷體"/>
          <w:sz w:val="24"/>
        </w:rPr>
        <w:t>國內、外差旅費及運費。</w:t>
      </w:r>
    </w:p>
    <w:p w:rsidR="00F76E22" w:rsidRPr="009E77EC" w:rsidRDefault="00F76E22">
      <w:pPr>
        <w:pStyle w:val="a3"/>
        <w:tabs>
          <w:tab w:val="left" w:pos="4440"/>
        </w:tabs>
        <w:kinsoku w:val="0"/>
        <w:overflowPunct w:val="0"/>
        <w:spacing w:line="240" w:lineRule="atLeast"/>
        <w:ind w:left="486"/>
        <w:jc w:val="both"/>
        <w:rPr>
          <w:rFonts w:eastAsia="標楷體"/>
          <w:sz w:val="24"/>
        </w:rPr>
      </w:pPr>
      <w:r w:rsidRPr="009E77EC">
        <w:rPr>
          <w:rFonts w:eastAsia="標楷體"/>
          <w:sz w:val="24"/>
        </w:rPr>
        <w:t>(</w:t>
      </w:r>
      <w:r w:rsidRPr="009E77EC">
        <w:rPr>
          <w:rFonts w:eastAsia="標楷體"/>
          <w:sz w:val="24"/>
        </w:rPr>
        <w:t>三</w:t>
      </w:r>
      <w:r w:rsidRPr="009E77EC">
        <w:rPr>
          <w:rFonts w:eastAsia="標楷體"/>
          <w:sz w:val="24"/>
        </w:rPr>
        <w:t>)</w:t>
      </w:r>
      <w:r w:rsidRPr="009E77EC">
        <w:rPr>
          <w:rFonts w:eastAsia="標楷體"/>
          <w:sz w:val="24"/>
        </w:rPr>
        <w:t>消耗性器材及原材料費用。</w:t>
      </w:r>
    </w:p>
    <w:p w:rsidR="00F76E22" w:rsidRPr="009E77EC" w:rsidRDefault="00F76E22">
      <w:pPr>
        <w:pStyle w:val="a3"/>
        <w:tabs>
          <w:tab w:val="left" w:pos="4440"/>
        </w:tabs>
        <w:kinsoku w:val="0"/>
        <w:overflowPunct w:val="0"/>
        <w:spacing w:line="240" w:lineRule="atLeast"/>
        <w:ind w:left="486"/>
        <w:jc w:val="both"/>
        <w:rPr>
          <w:rFonts w:eastAsia="標楷體"/>
          <w:sz w:val="24"/>
        </w:rPr>
      </w:pPr>
      <w:r w:rsidRPr="009E77EC">
        <w:rPr>
          <w:rFonts w:eastAsia="標楷體"/>
          <w:sz w:val="24"/>
        </w:rPr>
        <w:t>(</w:t>
      </w:r>
      <w:r w:rsidRPr="009E77EC">
        <w:rPr>
          <w:rFonts w:eastAsia="標楷體"/>
          <w:sz w:val="24"/>
        </w:rPr>
        <w:t>四</w:t>
      </w:r>
      <w:r w:rsidRPr="009E77EC">
        <w:rPr>
          <w:rFonts w:eastAsia="標楷體"/>
          <w:sz w:val="24"/>
        </w:rPr>
        <w:t>)</w:t>
      </w:r>
      <w:r w:rsidRPr="009E77EC">
        <w:rPr>
          <w:rFonts w:eastAsia="標楷體"/>
          <w:sz w:val="24"/>
        </w:rPr>
        <w:t>維護費。</w:t>
      </w:r>
    </w:p>
    <w:p w:rsidR="00F76E22" w:rsidRPr="009E77EC" w:rsidRDefault="00F76E22">
      <w:pPr>
        <w:pStyle w:val="a3"/>
        <w:tabs>
          <w:tab w:val="left" w:pos="4440"/>
        </w:tabs>
        <w:kinsoku w:val="0"/>
        <w:overflowPunct w:val="0"/>
        <w:spacing w:line="240" w:lineRule="atLeast"/>
        <w:ind w:left="486"/>
        <w:jc w:val="both"/>
        <w:rPr>
          <w:rFonts w:eastAsia="標楷體"/>
          <w:sz w:val="24"/>
        </w:rPr>
      </w:pPr>
      <w:r w:rsidRPr="009E77EC">
        <w:rPr>
          <w:rFonts w:eastAsia="標楷體"/>
          <w:sz w:val="24"/>
        </w:rPr>
        <w:t>(</w:t>
      </w:r>
      <w:r w:rsidRPr="009E77EC">
        <w:rPr>
          <w:rFonts w:eastAsia="標楷體"/>
          <w:sz w:val="24"/>
        </w:rPr>
        <w:t>五</w:t>
      </w:r>
      <w:r w:rsidRPr="009E77EC">
        <w:rPr>
          <w:rFonts w:eastAsia="標楷體"/>
          <w:sz w:val="24"/>
        </w:rPr>
        <w:t>)</w:t>
      </w:r>
      <w:r w:rsidRPr="009E77EC">
        <w:rPr>
          <w:rFonts w:eastAsia="標楷體"/>
          <w:sz w:val="24"/>
        </w:rPr>
        <w:t>業務費（含技術引進及委託研究費用）。</w:t>
      </w:r>
    </w:p>
    <w:p w:rsidR="00F76E22" w:rsidRPr="009E77EC" w:rsidRDefault="00F76E22">
      <w:pPr>
        <w:pStyle w:val="a3"/>
        <w:tabs>
          <w:tab w:val="left" w:pos="4440"/>
        </w:tabs>
        <w:kinsoku w:val="0"/>
        <w:overflowPunct w:val="0"/>
        <w:spacing w:line="240" w:lineRule="atLeast"/>
        <w:ind w:left="486"/>
        <w:jc w:val="both"/>
        <w:rPr>
          <w:rFonts w:eastAsia="標楷體"/>
          <w:sz w:val="24"/>
        </w:rPr>
      </w:pPr>
      <w:r w:rsidRPr="009E77EC">
        <w:rPr>
          <w:rFonts w:eastAsia="標楷體"/>
          <w:sz w:val="24"/>
        </w:rPr>
        <w:t>(</w:t>
      </w:r>
      <w:r w:rsidRPr="009E77EC">
        <w:rPr>
          <w:rFonts w:eastAsia="標楷體"/>
          <w:sz w:val="24"/>
        </w:rPr>
        <w:t>六</w:t>
      </w:r>
      <w:r w:rsidRPr="009E77EC">
        <w:rPr>
          <w:rFonts w:eastAsia="標楷體"/>
          <w:sz w:val="24"/>
        </w:rPr>
        <w:t>)</w:t>
      </w:r>
      <w:r w:rsidRPr="009E77EC">
        <w:rPr>
          <w:rFonts w:eastAsia="標楷體"/>
          <w:sz w:val="24"/>
        </w:rPr>
        <w:t>研究發展設備之使用費。</w:t>
      </w:r>
    </w:p>
    <w:p w:rsidR="00F76E22" w:rsidRPr="009E77EC" w:rsidRDefault="00F76E22">
      <w:pPr>
        <w:pStyle w:val="a3"/>
        <w:tabs>
          <w:tab w:val="left" w:pos="4440"/>
        </w:tabs>
        <w:kinsoku w:val="0"/>
        <w:overflowPunct w:val="0"/>
        <w:spacing w:line="240" w:lineRule="atLeast"/>
        <w:jc w:val="both"/>
        <w:rPr>
          <w:rFonts w:eastAsia="標楷體"/>
          <w:sz w:val="24"/>
        </w:rPr>
      </w:pPr>
      <w:r w:rsidRPr="009E77EC">
        <w:rPr>
          <w:rFonts w:eastAsia="標楷體"/>
          <w:sz w:val="24"/>
        </w:rPr>
        <w:t>依「石油基金獎勵石油開發技術研究發展計畫申請作業要點」提供之補助款，應不超過前項可補助範圍總額之百分之五十。</w:t>
      </w:r>
      <w:r w:rsidR="007723B5" w:rsidRPr="009E77EC">
        <w:rPr>
          <w:rFonts w:eastAsia="標楷體"/>
          <w:sz w:val="24"/>
        </w:rPr>
        <w:t>但執行政府政策且經經濟部核定之計畫，補助比例不受限制。</w:t>
      </w:r>
    </w:p>
    <w:p w:rsidR="00F76E22" w:rsidRPr="009E77EC" w:rsidRDefault="00F76E22">
      <w:pPr>
        <w:pStyle w:val="a3"/>
        <w:tabs>
          <w:tab w:val="left" w:pos="4440"/>
        </w:tabs>
        <w:kinsoku w:val="0"/>
        <w:overflowPunct w:val="0"/>
        <w:spacing w:line="240" w:lineRule="atLeast"/>
        <w:jc w:val="left"/>
        <w:rPr>
          <w:rFonts w:eastAsia="標楷體"/>
          <w:sz w:val="24"/>
        </w:rPr>
      </w:pPr>
    </w:p>
    <w:p w:rsidR="00F76E22" w:rsidRPr="009E77EC" w:rsidRDefault="00F76E22">
      <w:pPr>
        <w:pStyle w:val="a3"/>
        <w:tabs>
          <w:tab w:val="left" w:pos="4440"/>
        </w:tabs>
        <w:kinsoku w:val="0"/>
        <w:overflowPunct w:val="0"/>
        <w:spacing w:line="240" w:lineRule="atLeast"/>
        <w:jc w:val="left"/>
        <w:rPr>
          <w:rFonts w:eastAsia="標楷體"/>
          <w:b/>
          <w:sz w:val="24"/>
        </w:rPr>
      </w:pPr>
      <w:r w:rsidRPr="009E77EC">
        <w:rPr>
          <w:rFonts w:eastAsia="標楷體"/>
          <w:b/>
          <w:sz w:val="24"/>
        </w:rPr>
        <w:t>貳、經費補助範圍與編列原則說明</w:t>
      </w:r>
    </w:p>
    <w:p w:rsidR="00C871CF" w:rsidRPr="009E77EC" w:rsidRDefault="00F76E22" w:rsidP="00C871CF">
      <w:pPr>
        <w:pStyle w:val="a3"/>
        <w:tabs>
          <w:tab w:val="left" w:pos="4440"/>
        </w:tabs>
        <w:kinsoku w:val="0"/>
        <w:overflowPunct w:val="0"/>
        <w:spacing w:line="240" w:lineRule="atLeast"/>
        <w:ind w:left="489" w:hangingChars="197" w:hanging="489"/>
        <w:jc w:val="left"/>
        <w:rPr>
          <w:rFonts w:eastAsia="標楷體"/>
          <w:sz w:val="24"/>
        </w:rPr>
      </w:pPr>
      <w:r w:rsidRPr="009E77EC">
        <w:rPr>
          <w:rFonts w:eastAsia="標楷體"/>
          <w:sz w:val="24"/>
        </w:rPr>
        <w:t>一、</w:t>
      </w:r>
      <w:r w:rsidR="00C871CF" w:rsidRPr="009E77EC">
        <w:rPr>
          <w:rFonts w:eastAsia="標楷體"/>
          <w:sz w:val="24"/>
        </w:rPr>
        <w:t>本計畫</w:t>
      </w:r>
      <w:r w:rsidR="00CA3FD3" w:rsidRPr="009E77EC">
        <w:rPr>
          <w:rFonts w:eastAsia="標楷體"/>
          <w:sz w:val="24"/>
        </w:rPr>
        <w:t>各科目經費</w:t>
      </w:r>
      <w:r w:rsidR="00C871CF" w:rsidRPr="009E77EC">
        <w:rPr>
          <w:rFonts w:eastAsia="標楷體"/>
          <w:sz w:val="24"/>
        </w:rPr>
        <w:t>編列</w:t>
      </w:r>
      <w:r w:rsidR="004922CA" w:rsidRPr="009E77EC">
        <w:rPr>
          <w:rFonts w:eastAsia="標楷體"/>
          <w:sz w:val="24"/>
        </w:rPr>
        <w:t>標準</w:t>
      </w:r>
      <w:r w:rsidR="00C871CF" w:rsidRPr="009E77EC">
        <w:rPr>
          <w:rFonts w:eastAsia="標楷體"/>
          <w:sz w:val="24"/>
        </w:rPr>
        <w:t>係依據「經濟部及所屬機關委辦計畫預算編列基準」</w:t>
      </w:r>
      <w:r w:rsidR="00C871CF" w:rsidRPr="009E77EC">
        <w:rPr>
          <w:rFonts w:eastAsia="標楷體"/>
          <w:sz w:val="24"/>
        </w:rPr>
        <w:t>-</w:t>
      </w:r>
      <w:r w:rsidR="00C871CF" w:rsidRPr="009E77EC">
        <w:rPr>
          <w:rFonts w:eastAsia="標楷體"/>
          <w:sz w:val="24"/>
        </w:rPr>
        <w:t>「研究發展類」為原則辦理。</w:t>
      </w:r>
    </w:p>
    <w:p w:rsidR="00F76E22" w:rsidRPr="009E77EC" w:rsidRDefault="00C871CF">
      <w:pPr>
        <w:pStyle w:val="a3"/>
        <w:tabs>
          <w:tab w:val="left" w:pos="4440"/>
        </w:tabs>
        <w:kinsoku w:val="0"/>
        <w:overflowPunct w:val="0"/>
        <w:spacing w:line="240" w:lineRule="atLeast"/>
        <w:jc w:val="left"/>
        <w:rPr>
          <w:rFonts w:eastAsia="標楷體"/>
          <w:sz w:val="24"/>
        </w:rPr>
      </w:pPr>
      <w:r w:rsidRPr="009E77EC">
        <w:rPr>
          <w:rFonts w:eastAsia="標楷體"/>
          <w:sz w:val="24"/>
        </w:rPr>
        <w:t>二、</w:t>
      </w:r>
      <w:r w:rsidR="00F76E22" w:rsidRPr="009E77EC">
        <w:rPr>
          <w:rFonts w:eastAsia="標楷體"/>
          <w:sz w:val="24"/>
        </w:rPr>
        <w:t>參與計畫之專職或兼職研究相關人員人事費</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480"/>
        <w:gridCol w:w="5160"/>
      </w:tblGrid>
      <w:tr w:rsidR="009E77EC" w:rsidRPr="009E77EC">
        <w:trPr>
          <w:cantSplit/>
          <w:trHeight w:val="240"/>
          <w:tblHeader/>
        </w:trPr>
        <w:tc>
          <w:tcPr>
            <w:tcW w:w="1440" w:type="dxa"/>
            <w:vMerge w:val="restart"/>
            <w:vAlign w:val="center"/>
          </w:tcPr>
          <w:p w:rsidR="00F76E22" w:rsidRPr="009E77EC" w:rsidRDefault="00F76E22">
            <w:pPr>
              <w:kinsoku w:val="0"/>
              <w:overflowPunct w:val="0"/>
              <w:spacing w:line="240" w:lineRule="exact"/>
              <w:jc w:val="center"/>
              <w:rPr>
                <w:spacing w:val="-6"/>
              </w:rPr>
            </w:pPr>
            <w:r w:rsidRPr="009E77EC">
              <w:rPr>
                <w:spacing w:val="-6"/>
              </w:rPr>
              <w:t>會計科目</w:t>
            </w:r>
          </w:p>
        </w:tc>
        <w:tc>
          <w:tcPr>
            <w:tcW w:w="3480" w:type="dxa"/>
            <w:vMerge w:val="restart"/>
            <w:vAlign w:val="center"/>
          </w:tcPr>
          <w:p w:rsidR="00F76E22" w:rsidRPr="009E77EC" w:rsidRDefault="00F76E22">
            <w:pPr>
              <w:kinsoku w:val="0"/>
              <w:overflowPunct w:val="0"/>
              <w:spacing w:line="240" w:lineRule="exact"/>
              <w:ind w:left="142" w:hanging="142"/>
              <w:jc w:val="center"/>
              <w:rPr>
                <w:spacing w:val="-6"/>
              </w:rPr>
            </w:pPr>
            <w:r w:rsidRPr="009E77EC">
              <w:rPr>
                <w:spacing w:val="-6"/>
              </w:rPr>
              <w:t>科目說明</w:t>
            </w:r>
          </w:p>
        </w:tc>
        <w:tc>
          <w:tcPr>
            <w:tcW w:w="5160" w:type="dxa"/>
            <w:vMerge w:val="restart"/>
            <w:vAlign w:val="center"/>
          </w:tcPr>
          <w:p w:rsidR="00F76E22" w:rsidRPr="009E77EC" w:rsidRDefault="00F76E22">
            <w:pPr>
              <w:kinsoku w:val="0"/>
              <w:overflowPunct w:val="0"/>
              <w:spacing w:line="240" w:lineRule="exact"/>
              <w:ind w:left="142" w:hanging="142"/>
              <w:jc w:val="center"/>
              <w:rPr>
                <w:spacing w:val="-6"/>
              </w:rPr>
            </w:pPr>
            <w:r w:rsidRPr="009E77EC">
              <w:rPr>
                <w:spacing w:val="-6"/>
              </w:rPr>
              <w:t>編列原則及注意事項</w:t>
            </w:r>
          </w:p>
        </w:tc>
      </w:tr>
      <w:tr w:rsidR="009E77EC" w:rsidRPr="009E77EC">
        <w:trPr>
          <w:cantSplit/>
          <w:trHeight w:val="240"/>
          <w:tblHeader/>
        </w:trPr>
        <w:tc>
          <w:tcPr>
            <w:tcW w:w="1440" w:type="dxa"/>
            <w:vMerge/>
            <w:vAlign w:val="center"/>
          </w:tcPr>
          <w:p w:rsidR="00F76E22" w:rsidRPr="009E77EC" w:rsidRDefault="00F76E22">
            <w:pPr>
              <w:kinsoku w:val="0"/>
              <w:overflowPunct w:val="0"/>
              <w:spacing w:line="240" w:lineRule="exact"/>
              <w:jc w:val="both"/>
              <w:rPr>
                <w:spacing w:val="-6"/>
              </w:rPr>
            </w:pPr>
          </w:p>
        </w:tc>
        <w:tc>
          <w:tcPr>
            <w:tcW w:w="3480" w:type="dxa"/>
            <w:vMerge/>
            <w:vAlign w:val="center"/>
          </w:tcPr>
          <w:p w:rsidR="00F76E22" w:rsidRPr="009E77EC" w:rsidRDefault="00F76E22">
            <w:pPr>
              <w:kinsoku w:val="0"/>
              <w:overflowPunct w:val="0"/>
              <w:spacing w:line="240" w:lineRule="exact"/>
              <w:ind w:left="142" w:hanging="142"/>
              <w:jc w:val="both"/>
              <w:rPr>
                <w:spacing w:val="-6"/>
              </w:rPr>
            </w:pPr>
          </w:p>
        </w:tc>
        <w:tc>
          <w:tcPr>
            <w:tcW w:w="5160" w:type="dxa"/>
            <w:vMerge/>
            <w:vAlign w:val="center"/>
          </w:tcPr>
          <w:p w:rsidR="00F76E22" w:rsidRPr="009E77EC" w:rsidRDefault="00F76E22">
            <w:pPr>
              <w:kinsoku w:val="0"/>
              <w:overflowPunct w:val="0"/>
              <w:spacing w:line="240" w:lineRule="exact"/>
              <w:ind w:left="142" w:hanging="142"/>
              <w:jc w:val="both"/>
              <w:rPr>
                <w:spacing w:val="-6"/>
              </w:rPr>
            </w:pPr>
          </w:p>
        </w:tc>
      </w:tr>
      <w:tr w:rsidR="009E77EC" w:rsidRPr="009E77EC">
        <w:trPr>
          <w:cantSplit/>
        </w:trPr>
        <w:tc>
          <w:tcPr>
            <w:tcW w:w="1440" w:type="dxa"/>
          </w:tcPr>
          <w:p w:rsidR="00F76E22" w:rsidRPr="009E77EC" w:rsidRDefault="00F76E22">
            <w:pPr>
              <w:kinsoku w:val="0"/>
              <w:overflowPunct w:val="0"/>
              <w:spacing w:before="40" w:after="40" w:line="200" w:lineRule="atLeast"/>
              <w:ind w:left="-18" w:firstLine="4"/>
              <w:jc w:val="both"/>
            </w:pPr>
            <w:r w:rsidRPr="009E77EC">
              <w:t>參與計畫之專職或兼職研究相關人員人事費</w:t>
            </w:r>
          </w:p>
        </w:tc>
        <w:tc>
          <w:tcPr>
            <w:tcW w:w="3480" w:type="dxa"/>
          </w:tcPr>
          <w:p w:rsidR="00F76E22" w:rsidRPr="009E77EC" w:rsidRDefault="00F76E22">
            <w:pPr>
              <w:pStyle w:val="a4"/>
              <w:kinsoku w:val="0"/>
              <w:overflowPunct w:val="0"/>
              <w:spacing w:before="40" w:after="40"/>
              <w:ind w:left="181" w:hanging="181"/>
              <w:jc w:val="both"/>
              <w:rPr>
                <w:rFonts w:eastAsia="標楷體"/>
                <w:sz w:val="24"/>
              </w:rPr>
            </w:pPr>
            <w:r w:rsidRPr="009E77EC">
              <w:rPr>
                <w:rFonts w:eastAsia="標楷體"/>
                <w:sz w:val="24"/>
              </w:rPr>
              <w:t>1.</w:t>
            </w:r>
            <w:r w:rsidRPr="009E77EC">
              <w:rPr>
                <w:rFonts w:eastAsia="標楷體"/>
                <w:sz w:val="24"/>
              </w:rPr>
              <w:t>薪餉</w:t>
            </w:r>
            <w:r w:rsidRPr="009E77EC">
              <w:rPr>
                <w:rFonts w:eastAsia="標楷體"/>
                <w:sz w:val="24"/>
              </w:rPr>
              <w:t>─</w:t>
            </w:r>
            <w:r w:rsidRPr="009E77EC">
              <w:rPr>
                <w:rFonts w:eastAsia="標楷體"/>
                <w:sz w:val="24"/>
              </w:rPr>
              <w:t>正式員工之薪俸及工餉，惟不含退休金、退職金、資遣費、勞保費、健保費等公司相對提列之項目。</w:t>
            </w:r>
          </w:p>
          <w:p w:rsidR="00F76E22" w:rsidRPr="009E77EC" w:rsidRDefault="00F76E22">
            <w:pPr>
              <w:pStyle w:val="a4"/>
              <w:kinsoku w:val="0"/>
              <w:overflowPunct w:val="0"/>
              <w:spacing w:before="40" w:after="40"/>
              <w:ind w:left="181" w:hanging="181"/>
              <w:jc w:val="both"/>
              <w:rPr>
                <w:rFonts w:eastAsia="標楷體"/>
                <w:sz w:val="24"/>
              </w:rPr>
            </w:pPr>
            <w:r w:rsidRPr="009E77EC">
              <w:rPr>
                <w:rFonts w:eastAsia="標楷體"/>
                <w:sz w:val="24"/>
              </w:rPr>
              <w:t>2.</w:t>
            </w:r>
            <w:r w:rsidRPr="009E77EC">
              <w:rPr>
                <w:rFonts w:eastAsia="標楷體"/>
                <w:sz w:val="24"/>
              </w:rPr>
              <w:t>加班費</w:t>
            </w:r>
            <w:r w:rsidRPr="009E77EC">
              <w:rPr>
                <w:rFonts w:eastAsia="標楷體"/>
                <w:sz w:val="24"/>
              </w:rPr>
              <w:t>─</w:t>
            </w:r>
            <w:r w:rsidRPr="009E77EC">
              <w:rPr>
                <w:rFonts w:eastAsia="標楷體"/>
                <w:sz w:val="24"/>
              </w:rPr>
              <w:t>員工超時加班及誤餐費。</w:t>
            </w:r>
          </w:p>
          <w:p w:rsidR="00F65A4C" w:rsidRPr="009E77EC" w:rsidRDefault="00F76E22">
            <w:pPr>
              <w:pStyle w:val="a4"/>
              <w:kinsoku w:val="0"/>
              <w:overflowPunct w:val="0"/>
              <w:spacing w:before="40" w:after="40"/>
              <w:ind w:left="181" w:hanging="181"/>
              <w:jc w:val="both"/>
              <w:rPr>
                <w:rFonts w:eastAsia="標楷體"/>
                <w:sz w:val="24"/>
              </w:rPr>
            </w:pPr>
            <w:r w:rsidRPr="009E77EC">
              <w:rPr>
                <w:rFonts w:eastAsia="標楷體"/>
                <w:sz w:val="24"/>
              </w:rPr>
              <w:t>3.</w:t>
            </w:r>
            <w:r w:rsidRPr="009E77EC">
              <w:rPr>
                <w:rFonts w:eastAsia="標楷體"/>
                <w:sz w:val="24"/>
              </w:rPr>
              <w:t>獎金及津貼</w:t>
            </w:r>
            <w:r w:rsidRPr="009E77EC">
              <w:rPr>
                <w:rFonts w:eastAsia="標楷體"/>
                <w:sz w:val="24"/>
              </w:rPr>
              <w:t>─</w:t>
            </w:r>
            <w:r w:rsidRPr="009E77EC">
              <w:rPr>
                <w:rFonts w:eastAsia="標楷體"/>
                <w:sz w:val="24"/>
              </w:rPr>
              <w:t>包含三節之獎金、考績獎金。</w:t>
            </w:r>
          </w:p>
          <w:p w:rsidR="00F76E22" w:rsidRPr="009E77EC" w:rsidRDefault="00F76E22" w:rsidP="00F65A4C"/>
        </w:tc>
        <w:tc>
          <w:tcPr>
            <w:tcW w:w="5160" w:type="dxa"/>
          </w:tcPr>
          <w:p w:rsidR="00F76E22" w:rsidRPr="009E77EC" w:rsidRDefault="00F76E22">
            <w:pPr>
              <w:kinsoku w:val="0"/>
              <w:overflowPunct w:val="0"/>
              <w:spacing w:before="40" w:after="40" w:line="200" w:lineRule="atLeast"/>
              <w:ind w:left="181" w:hanging="181"/>
              <w:jc w:val="both"/>
            </w:pPr>
            <w:r w:rsidRPr="009E77EC">
              <w:t>1.</w:t>
            </w:r>
            <w:r w:rsidRPr="009E77EC">
              <w:t>所稱參與計畫之專職或兼職研究相關人員人事費包含薪餉、加班費、獎金及津貼、其他加給等支付給參與計畫人員之薪資。</w:t>
            </w:r>
          </w:p>
          <w:p w:rsidR="00F76E22" w:rsidRPr="009E77EC" w:rsidRDefault="00F76E22">
            <w:pPr>
              <w:kinsoku w:val="0"/>
              <w:overflowPunct w:val="0"/>
              <w:spacing w:before="40" w:after="40" w:line="200" w:lineRule="atLeast"/>
              <w:ind w:left="181" w:hanging="181"/>
              <w:jc w:val="both"/>
            </w:pPr>
            <w:r w:rsidRPr="009E77EC">
              <w:t>2.</w:t>
            </w:r>
            <w:r w:rsidRPr="009E77EC">
              <w:t>所稱薪餉需符合下列一般原則：公司訂有一定之計算標準及</w:t>
            </w:r>
            <w:r w:rsidR="00621AFD" w:rsidRPr="009E77EC">
              <w:t>薪給制度且定時發放之現金給與項目，惟不含退休金、退職金、資遣費</w:t>
            </w:r>
            <w:r w:rsidRPr="009E77EC">
              <w:t>等公司相對提列項目。</w:t>
            </w:r>
          </w:p>
          <w:p w:rsidR="00F76E22" w:rsidRPr="009E77EC" w:rsidRDefault="00F76E22">
            <w:pPr>
              <w:kinsoku w:val="0"/>
              <w:overflowPunct w:val="0"/>
              <w:spacing w:before="40" w:after="40" w:line="200" w:lineRule="atLeast"/>
              <w:ind w:left="181" w:hanging="181"/>
              <w:jc w:val="both"/>
            </w:pPr>
            <w:r w:rsidRPr="009E77EC">
              <w:t>3.</w:t>
            </w:r>
            <w:r w:rsidRPr="009E77EC">
              <w:t>薪餉、獎金及津貼、其他加給應依其投入計畫之工作時間比例編列；加班費應依實際需要編列。</w:t>
            </w:r>
          </w:p>
          <w:p w:rsidR="00F76E22" w:rsidRPr="009E77EC" w:rsidRDefault="00F76E22">
            <w:pPr>
              <w:kinsoku w:val="0"/>
              <w:overflowPunct w:val="0"/>
              <w:spacing w:before="40" w:after="40" w:line="200" w:lineRule="atLeast"/>
              <w:ind w:left="181" w:hanging="181"/>
              <w:jc w:val="both"/>
            </w:pPr>
            <w:r w:rsidRPr="009E77EC">
              <w:t>4.</w:t>
            </w:r>
            <w:r w:rsidRPr="009E77EC">
              <w:t>年終獎金總計不得超過月薪</w:t>
            </w:r>
            <w:r w:rsidRPr="009E77EC">
              <w:t>2</w:t>
            </w:r>
            <w:r w:rsidRPr="009E77EC">
              <w:t>個月為上限</w:t>
            </w:r>
            <w:r w:rsidRPr="009E77EC">
              <w:t>(</w:t>
            </w:r>
            <w:r w:rsidRPr="009E77EC">
              <w:t>所稱月薪僅包含本薪、職務加給或技術津貼、主管加給</w:t>
            </w:r>
            <w:r w:rsidRPr="009E77EC">
              <w:t>)</w:t>
            </w:r>
            <w:r w:rsidRPr="009E77EC">
              <w:t>。</w:t>
            </w:r>
          </w:p>
          <w:p w:rsidR="00F76E22" w:rsidRPr="009E77EC" w:rsidRDefault="00F76E22">
            <w:pPr>
              <w:kinsoku w:val="0"/>
              <w:overflowPunct w:val="0"/>
              <w:spacing w:before="40" w:after="40" w:line="200" w:lineRule="atLeast"/>
              <w:ind w:left="181" w:hanging="181"/>
              <w:jc w:val="both"/>
            </w:pPr>
            <w:r w:rsidRPr="009E77EC">
              <w:t>5.</w:t>
            </w:r>
            <w:r w:rsidRPr="009E77EC">
              <w:t>參與計畫人員人事費以月薪的</w:t>
            </w:r>
            <w:r w:rsidRPr="009E77EC">
              <w:t>15</w:t>
            </w:r>
            <w:r w:rsidRPr="009E77EC">
              <w:t>個月為編列上限</w:t>
            </w:r>
            <w:r w:rsidRPr="009E77EC">
              <w:t>(</w:t>
            </w:r>
            <w:r w:rsidRPr="009E77EC">
              <w:t>所稱月薪僅包含本薪、職務加給或技術津貼、主管加給</w:t>
            </w:r>
            <w:r w:rsidRPr="009E77EC">
              <w:t>)</w:t>
            </w:r>
            <w:r w:rsidRPr="009E77EC">
              <w:t>。</w:t>
            </w:r>
          </w:p>
          <w:p w:rsidR="00F76E22" w:rsidRPr="009E77EC" w:rsidRDefault="00F76E22">
            <w:pPr>
              <w:kinsoku w:val="0"/>
              <w:overflowPunct w:val="0"/>
              <w:spacing w:before="40" w:after="40" w:line="200" w:lineRule="atLeast"/>
              <w:ind w:left="181" w:hanging="181"/>
              <w:jc w:val="both"/>
            </w:pPr>
            <w:r w:rsidRPr="009E77EC">
              <w:t>6.</w:t>
            </w:r>
            <w:r w:rsidRPr="009E77EC">
              <w:t>待聘人員不得超過總研發人數之</w:t>
            </w:r>
            <w:r w:rsidRPr="009E77EC">
              <w:t>30%</w:t>
            </w:r>
            <w:r w:rsidRPr="009E77EC">
              <w:t>為原則。</w:t>
            </w:r>
          </w:p>
          <w:p w:rsidR="00252DA0" w:rsidRPr="009E77EC" w:rsidRDefault="00F76E22">
            <w:pPr>
              <w:kinsoku w:val="0"/>
              <w:overflowPunct w:val="0"/>
              <w:spacing w:before="40" w:after="40" w:line="200" w:lineRule="atLeast"/>
              <w:ind w:left="181" w:hanging="181"/>
              <w:jc w:val="both"/>
            </w:pPr>
            <w:r w:rsidRPr="009E77EC">
              <w:t>7.</w:t>
            </w:r>
            <w:r w:rsidR="00252DA0" w:rsidRPr="009E77EC">
              <w:t>計畫主持人之之人力編列至少為</w:t>
            </w:r>
            <w:r w:rsidR="005A4BD9" w:rsidRPr="009E77EC">
              <w:t>6</w:t>
            </w:r>
            <w:r w:rsidR="00252DA0" w:rsidRPr="009E77EC">
              <w:t>個人月以上</w:t>
            </w:r>
            <w:r w:rsidR="00CA3FD3" w:rsidRPr="009E77EC">
              <w:t>，但</w:t>
            </w:r>
            <w:r w:rsidR="000611AF" w:rsidRPr="009E77EC">
              <w:t>執行政府政策且經經濟部核定之計畫不在此限</w:t>
            </w:r>
            <w:r w:rsidR="00CA3FD3" w:rsidRPr="009E77EC">
              <w:t>。</w:t>
            </w:r>
          </w:p>
          <w:p w:rsidR="00F76E22" w:rsidRPr="009E77EC" w:rsidRDefault="00252DA0">
            <w:pPr>
              <w:kinsoku w:val="0"/>
              <w:overflowPunct w:val="0"/>
              <w:spacing w:before="40" w:after="40" w:line="200" w:lineRule="atLeast"/>
              <w:ind w:left="181" w:hanging="181"/>
              <w:jc w:val="both"/>
            </w:pPr>
            <w:r w:rsidRPr="009E77EC">
              <w:t>8.</w:t>
            </w:r>
            <w:r w:rsidR="00F76E22" w:rsidRPr="009E77EC">
              <w:t>參與計畫人員之人事費編列請依計畫主持人</w:t>
            </w:r>
            <w:r w:rsidR="00B4176D" w:rsidRPr="009E77EC">
              <w:t>、</w:t>
            </w:r>
            <w:r w:rsidR="00F76E22" w:rsidRPr="009E77EC">
              <w:t>研究員級、副研究員級、助理研究員級、研究助理級編列，有關職級分類請參考「參、各級研究員定義」。</w:t>
            </w:r>
          </w:p>
        </w:tc>
      </w:tr>
    </w:tbl>
    <w:p w:rsidR="00F76E22" w:rsidRPr="009E77EC" w:rsidRDefault="00C871CF">
      <w:pPr>
        <w:pStyle w:val="a3"/>
        <w:tabs>
          <w:tab w:val="left" w:pos="4440"/>
        </w:tabs>
        <w:kinsoku w:val="0"/>
        <w:overflowPunct w:val="0"/>
        <w:spacing w:line="240" w:lineRule="atLeast"/>
        <w:jc w:val="left"/>
        <w:rPr>
          <w:rFonts w:eastAsia="標楷體"/>
          <w:sz w:val="24"/>
        </w:rPr>
      </w:pPr>
      <w:r w:rsidRPr="009E77EC">
        <w:rPr>
          <w:rFonts w:eastAsia="標楷體"/>
          <w:sz w:val="24"/>
        </w:rPr>
        <w:lastRenderedPageBreak/>
        <w:t>三</w:t>
      </w:r>
      <w:r w:rsidR="00F76E22" w:rsidRPr="009E77EC">
        <w:rPr>
          <w:rFonts w:eastAsia="標楷體"/>
          <w:sz w:val="24"/>
        </w:rPr>
        <w:t>、國內、外差旅費及運費</w:t>
      </w:r>
    </w:p>
    <w:tbl>
      <w:tblPr>
        <w:tblW w:w="10080" w:type="dxa"/>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40"/>
        <w:gridCol w:w="3480"/>
        <w:gridCol w:w="5160"/>
      </w:tblGrid>
      <w:tr w:rsidR="009E77EC" w:rsidRPr="009E77EC" w:rsidTr="002C5F81">
        <w:trPr>
          <w:cantSplit/>
          <w:trHeight w:val="270"/>
        </w:trPr>
        <w:tc>
          <w:tcPr>
            <w:tcW w:w="1440" w:type="dxa"/>
            <w:vMerge w:val="restart"/>
            <w:tcBorders>
              <w:bottom w:val="nil"/>
            </w:tcBorders>
            <w:vAlign w:val="center"/>
          </w:tcPr>
          <w:p w:rsidR="002C5F81" w:rsidRPr="009E77EC" w:rsidRDefault="002C5F81" w:rsidP="002C5F81">
            <w:pPr>
              <w:kinsoku w:val="0"/>
              <w:overflowPunct w:val="0"/>
              <w:spacing w:line="240" w:lineRule="exact"/>
              <w:jc w:val="center"/>
              <w:rPr>
                <w:spacing w:val="-6"/>
              </w:rPr>
            </w:pPr>
            <w:r w:rsidRPr="009E77EC">
              <w:rPr>
                <w:spacing w:val="-6"/>
              </w:rPr>
              <w:t>會計科目</w:t>
            </w:r>
          </w:p>
        </w:tc>
        <w:tc>
          <w:tcPr>
            <w:tcW w:w="3480" w:type="dxa"/>
            <w:vMerge w:val="restart"/>
            <w:tcBorders>
              <w:bottom w:val="nil"/>
            </w:tcBorders>
            <w:vAlign w:val="center"/>
          </w:tcPr>
          <w:p w:rsidR="002C5F81" w:rsidRPr="009E77EC" w:rsidRDefault="002C5F81" w:rsidP="002C5F81">
            <w:pPr>
              <w:kinsoku w:val="0"/>
              <w:overflowPunct w:val="0"/>
              <w:spacing w:line="240" w:lineRule="exact"/>
              <w:ind w:left="142" w:hanging="142"/>
              <w:jc w:val="center"/>
              <w:rPr>
                <w:spacing w:val="-6"/>
              </w:rPr>
            </w:pPr>
            <w:r w:rsidRPr="009E77EC">
              <w:rPr>
                <w:spacing w:val="-6"/>
              </w:rPr>
              <w:t>科目說明</w:t>
            </w:r>
          </w:p>
        </w:tc>
        <w:tc>
          <w:tcPr>
            <w:tcW w:w="5160" w:type="dxa"/>
            <w:vMerge w:val="restart"/>
            <w:tcBorders>
              <w:bottom w:val="single" w:sz="6" w:space="0" w:color="000000"/>
            </w:tcBorders>
            <w:vAlign w:val="center"/>
          </w:tcPr>
          <w:p w:rsidR="002C5F81" w:rsidRPr="009E77EC" w:rsidRDefault="002C5F81" w:rsidP="002C5F81">
            <w:pPr>
              <w:kinsoku w:val="0"/>
              <w:overflowPunct w:val="0"/>
              <w:spacing w:line="240" w:lineRule="exact"/>
              <w:ind w:left="142" w:hanging="142"/>
              <w:jc w:val="center"/>
              <w:rPr>
                <w:spacing w:val="-6"/>
              </w:rPr>
            </w:pPr>
            <w:r w:rsidRPr="009E77EC">
              <w:rPr>
                <w:spacing w:val="-6"/>
              </w:rPr>
              <w:t>編列原則及注意事項</w:t>
            </w:r>
          </w:p>
        </w:tc>
      </w:tr>
      <w:tr w:rsidR="009E77EC" w:rsidRPr="009E77EC" w:rsidTr="002C5F81">
        <w:trPr>
          <w:cantSplit/>
          <w:trHeight w:val="276"/>
        </w:trPr>
        <w:tc>
          <w:tcPr>
            <w:tcW w:w="1440" w:type="dxa"/>
            <w:vMerge/>
            <w:tcBorders>
              <w:top w:val="nil"/>
            </w:tcBorders>
          </w:tcPr>
          <w:p w:rsidR="00F76E22" w:rsidRPr="009E77EC" w:rsidRDefault="00F76E22">
            <w:pPr>
              <w:kinsoku w:val="0"/>
              <w:overflowPunct w:val="0"/>
              <w:spacing w:line="200" w:lineRule="atLeast"/>
              <w:jc w:val="both"/>
            </w:pPr>
          </w:p>
        </w:tc>
        <w:tc>
          <w:tcPr>
            <w:tcW w:w="3480" w:type="dxa"/>
            <w:vMerge/>
            <w:tcBorders>
              <w:top w:val="nil"/>
            </w:tcBorders>
          </w:tcPr>
          <w:p w:rsidR="00F76E22" w:rsidRPr="009E77EC" w:rsidRDefault="00F76E22">
            <w:pPr>
              <w:kinsoku w:val="0"/>
              <w:overflowPunct w:val="0"/>
              <w:spacing w:line="200" w:lineRule="atLeast"/>
              <w:jc w:val="both"/>
            </w:pPr>
          </w:p>
        </w:tc>
        <w:tc>
          <w:tcPr>
            <w:tcW w:w="5160" w:type="dxa"/>
            <w:vMerge/>
            <w:tcBorders>
              <w:top w:val="nil"/>
              <w:bottom w:val="single" w:sz="6" w:space="0" w:color="000000"/>
            </w:tcBorders>
          </w:tcPr>
          <w:p w:rsidR="00F76E22" w:rsidRPr="009E77EC" w:rsidRDefault="00F76E22">
            <w:pPr>
              <w:kinsoku w:val="0"/>
              <w:overflowPunct w:val="0"/>
              <w:spacing w:line="235" w:lineRule="auto"/>
              <w:jc w:val="both"/>
            </w:pPr>
          </w:p>
        </w:tc>
      </w:tr>
      <w:tr w:rsidR="009E77EC" w:rsidRPr="009E77EC" w:rsidTr="001E05CC">
        <w:trPr>
          <w:cantSplit/>
        </w:trPr>
        <w:tc>
          <w:tcPr>
            <w:tcW w:w="1440" w:type="dxa"/>
          </w:tcPr>
          <w:p w:rsidR="00F65A4C" w:rsidRPr="009E77EC" w:rsidRDefault="00F65A4C">
            <w:pPr>
              <w:kinsoku w:val="0"/>
              <w:overflowPunct w:val="0"/>
              <w:spacing w:before="40" w:line="200" w:lineRule="atLeast"/>
              <w:ind w:left="113" w:hanging="113"/>
              <w:jc w:val="both"/>
            </w:pPr>
            <w:r w:rsidRPr="009E77EC">
              <w:t>1.</w:t>
            </w:r>
            <w:r w:rsidRPr="009E77EC">
              <w:t>國外差旅費</w:t>
            </w:r>
          </w:p>
        </w:tc>
        <w:tc>
          <w:tcPr>
            <w:tcW w:w="3480" w:type="dxa"/>
          </w:tcPr>
          <w:p w:rsidR="00F65A4C" w:rsidRPr="009E77EC" w:rsidRDefault="00F65A4C">
            <w:pPr>
              <w:kinsoku w:val="0"/>
              <w:overflowPunct w:val="0"/>
              <w:spacing w:before="40" w:line="200" w:lineRule="atLeast"/>
              <w:jc w:val="both"/>
            </w:pPr>
            <w:r w:rsidRPr="009E77EC">
              <w:t>計畫參與人員所需之國外差旅費。</w:t>
            </w:r>
          </w:p>
        </w:tc>
        <w:tc>
          <w:tcPr>
            <w:tcW w:w="5160" w:type="dxa"/>
            <w:vMerge w:val="restart"/>
            <w:tcBorders>
              <w:top w:val="nil"/>
            </w:tcBorders>
          </w:tcPr>
          <w:p w:rsidR="00F65A4C" w:rsidRPr="009E77EC" w:rsidRDefault="00F65A4C">
            <w:pPr>
              <w:kinsoku w:val="0"/>
              <w:overflowPunct w:val="0"/>
              <w:spacing w:before="40" w:line="200" w:lineRule="atLeast"/>
              <w:ind w:left="181" w:hanging="181"/>
              <w:jc w:val="both"/>
            </w:pPr>
            <w:r w:rsidRPr="009E77EC">
              <w:t>1.</w:t>
            </w:r>
            <w:r w:rsidRPr="009E77EC">
              <w:t>國內外差旅費應依出差人數、目的、地區、天數及所需旅費</w:t>
            </w:r>
            <w:r w:rsidRPr="009E77EC">
              <w:rPr>
                <w:spacing w:val="-4"/>
              </w:rPr>
              <w:t>等項目編列。</w:t>
            </w:r>
          </w:p>
          <w:p w:rsidR="00F65A4C" w:rsidRPr="009E77EC" w:rsidRDefault="00F65A4C">
            <w:pPr>
              <w:kinsoku w:val="0"/>
              <w:overflowPunct w:val="0"/>
              <w:spacing w:before="40" w:line="200" w:lineRule="atLeast"/>
              <w:ind w:left="181" w:hanging="181"/>
              <w:jc w:val="both"/>
              <w:rPr>
                <w:spacing w:val="-4"/>
              </w:rPr>
            </w:pPr>
            <w:r w:rsidRPr="009E77EC">
              <w:rPr>
                <w:spacing w:val="-4"/>
              </w:rPr>
              <w:t>2.</w:t>
            </w:r>
            <w:r w:rsidRPr="009E77EC">
              <w:rPr>
                <w:spacing w:val="-4"/>
              </w:rPr>
              <w:t>出差人員限為參與本計畫之人員。</w:t>
            </w:r>
          </w:p>
          <w:p w:rsidR="00F65A4C" w:rsidRPr="009E77EC" w:rsidRDefault="00F65A4C">
            <w:pPr>
              <w:kinsoku w:val="0"/>
              <w:overflowPunct w:val="0"/>
              <w:spacing w:before="40" w:line="200" w:lineRule="atLeast"/>
              <w:ind w:left="181" w:hanging="181"/>
              <w:jc w:val="both"/>
            </w:pPr>
            <w:r w:rsidRPr="009E77EC">
              <w:t>3.</w:t>
            </w:r>
            <w:r w:rsidRPr="009E77EC">
              <w:t>所需之差旅費依據行政院「國內出差旅費報支要點」及「國外出差旅費報支要點」等相關規定辦理。</w:t>
            </w:r>
          </w:p>
          <w:p w:rsidR="00F65A4C" w:rsidRPr="009E77EC" w:rsidRDefault="00F65A4C">
            <w:pPr>
              <w:kinsoku w:val="0"/>
              <w:overflowPunct w:val="0"/>
              <w:spacing w:before="40" w:line="200" w:lineRule="atLeast"/>
              <w:ind w:left="181" w:hanging="181"/>
              <w:jc w:val="both"/>
            </w:pPr>
            <w:r w:rsidRPr="009E77EC">
              <w:t>4.</w:t>
            </w:r>
            <w:r w:rsidRPr="009E77EC">
              <w:t>公司訂有私車公用油資補貼規定者，得依公司每公里補貼金額按預估里程數編列費用。</w:t>
            </w:r>
          </w:p>
          <w:p w:rsidR="00F65A4C" w:rsidRPr="009E77EC" w:rsidRDefault="00F65A4C" w:rsidP="003415E2">
            <w:pPr>
              <w:kinsoku w:val="0"/>
              <w:overflowPunct w:val="0"/>
              <w:spacing w:before="40" w:line="200" w:lineRule="atLeast"/>
              <w:ind w:left="181" w:hanging="181"/>
              <w:jc w:val="both"/>
            </w:pPr>
            <w:r w:rsidRPr="009E77EC">
              <w:t>5.</w:t>
            </w:r>
            <w:r w:rsidRPr="009E77EC">
              <w:t>出國計畫之補助以</w:t>
            </w:r>
            <w:r w:rsidRPr="009E77EC">
              <w:t>1</w:t>
            </w:r>
            <w:r w:rsidRPr="009E77EC">
              <w:t>人次、</w:t>
            </w:r>
            <w:r w:rsidRPr="009E77EC">
              <w:t>7</w:t>
            </w:r>
            <w:r w:rsidRPr="009E77EC">
              <w:t>日為限。</w:t>
            </w:r>
          </w:p>
        </w:tc>
      </w:tr>
      <w:tr w:rsidR="009E77EC" w:rsidRPr="009E77EC" w:rsidTr="001E05CC">
        <w:trPr>
          <w:cantSplit/>
        </w:trPr>
        <w:tc>
          <w:tcPr>
            <w:tcW w:w="1440" w:type="dxa"/>
          </w:tcPr>
          <w:p w:rsidR="00F65A4C" w:rsidRPr="009E77EC" w:rsidRDefault="00F65A4C">
            <w:pPr>
              <w:kinsoku w:val="0"/>
              <w:overflowPunct w:val="0"/>
              <w:spacing w:before="40" w:line="200" w:lineRule="atLeast"/>
              <w:ind w:left="113" w:hanging="113"/>
              <w:jc w:val="both"/>
            </w:pPr>
            <w:r w:rsidRPr="009E77EC">
              <w:t>2.</w:t>
            </w:r>
            <w:r w:rsidRPr="009E77EC">
              <w:t>國內差旅費</w:t>
            </w:r>
          </w:p>
        </w:tc>
        <w:tc>
          <w:tcPr>
            <w:tcW w:w="3480" w:type="dxa"/>
          </w:tcPr>
          <w:p w:rsidR="00F65A4C" w:rsidRPr="009E77EC" w:rsidRDefault="00F65A4C">
            <w:pPr>
              <w:kinsoku w:val="0"/>
              <w:overflowPunct w:val="0"/>
              <w:spacing w:before="40" w:line="200" w:lineRule="atLeast"/>
              <w:jc w:val="both"/>
            </w:pPr>
            <w:r w:rsidRPr="009E77EC">
              <w:t>計畫參與人員所需之國內差旅費。</w:t>
            </w:r>
          </w:p>
        </w:tc>
        <w:tc>
          <w:tcPr>
            <w:tcW w:w="5160" w:type="dxa"/>
            <w:vMerge/>
          </w:tcPr>
          <w:p w:rsidR="00F65A4C" w:rsidRPr="009E77EC" w:rsidRDefault="00F65A4C">
            <w:pPr>
              <w:kinsoku w:val="0"/>
              <w:overflowPunct w:val="0"/>
              <w:spacing w:line="200" w:lineRule="atLeast"/>
              <w:jc w:val="both"/>
            </w:pPr>
          </w:p>
        </w:tc>
      </w:tr>
      <w:tr w:rsidR="009E77EC" w:rsidRPr="009E77EC" w:rsidTr="001E05CC">
        <w:trPr>
          <w:cantSplit/>
        </w:trPr>
        <w:tc>
          <w:tcPr>
            <w:tcW w:w="1440" w:type="dxa"/>
          </w:tcPr>
          <w:p w:rsidR="00F65A4C" w:rsidRPr="009E77EC" w:rsidRDefault="00F65A4C">
            <w:pPr>
              <w:kinsoku w:val="0"/>
              <w:overflowPunct w:val="0"/>
              <w:spacing w:before="40" w:line="200" w:lineRule="atLeast"/>
              <w:ind w:left="113" w:hanging="113"/>
              <w:jc w:val="both"/>
            </w:pPr>
            <w:r w:rsidRPr="009E77EC">
              <w:t>3.</w:t>
            </w:r>
            <w:r w:rsidRPr="009E77EC">
              <w:t>運費</w:t>
            </w:r>
          </w:p>
        </w:tc>
        <w:tc>
          <w:tcPr>
            <w:tcW w:w="3480" w:type="dxa"/>
          </w:tcPr>
          <w:p w:rsidR="00F65A4C" w:rsidRPr="009E77EC" w:rsidRDefault="00F65A4C">
            <w:pPr>
              <w:kinsoku w:val="0"/>
              <w:overflowPunct w:val="0"/>
              <w:spacing w:before="40" w:line="200" w:lineRule="atLeast"/>
              <w:jc w:val="both"/>
            </w:pPr>
            <w:r w:rsidRPr="009E77EC">
              <w:t>計畫相關之運輸費用</w:t>
            </w:r>
          </w:p>
        </w:tc>
        <w:tc>
          <w:tcPr>
            <w:tcW w:w="5160" w:type="dxa"/>
            <w:vMerge/>
          </w:tcPr>
          <w:p w:rsidR="00F65A4C" w:rsidRPr="009E77EC" w:rsidRDefault="00F65A4C">
            <w:pPr>
              <w:kinsoku w:val="0"/>
              <w:overflowPunct w:val="0"/>
              <w:spacing w:line="200" w:lineRule="atLeast"/>
              <w:jc w:val="both"/>
            </w:pPr>
          </w:p>
        </w:tc>
      </w:tr>
    </w:tbl>
    <w:p w:rsidR="00F65A4C" w:rsidRPr="009E77EC" w:rsidRDefault="00F65A4C">
      <w:pPr>
        <w:pStyle w:val="a3"/>
        <w:tabs>
          <w:tab w:val="left" w:pos="4440"/>
        </w:tabs>
        <w:kinsoku w:val="0"/>
        <w:overflowPunct w:val="0"/>
        <w:spacing w:line="240" w:lineRule="atLeast"/>
        <w:jc w:val="left"/>
        <w:rPr>
          <w:rFonts w:eastAsia="標楷體"/>
          <w:sz w:val="24"/>
        </w:rPr>
      </w:pPr>
    </w:p>
    <w:p w:rsidR="00F76E22" w:rsidRPr="009E77EC" w:rsidRDefault="00C871CF">
      <w:pPr>
        <w:pStyle w:val="a3"/>
        <w:tabs>
          <w:tab w:val="left" w:pos="4440"/>
        </w:tabs>
        <w:kinsoku w:val="0"/>
        <w:overflowPunct w:val="0"/>
        <w:spacing w:line="240" w:lineRule="atLeast"/>
        <w:jc w:val="left"/>
        <w:rPr>
          <w:rFonts w:eastAsia="標楷體"/>
          <w:sz w:val="24"/>
        </w:rPr>
      </w:pPr>
      <w:r w:rsidRPr="009E77EC">
        <w:rPr>
          <w:rFonts w:eastAsia="標楷體"/>
          <w:sz w:val="24"/>
        </w:rPr>
        <w:t>四</w:t>
      </w:r>
      <w:r w:rsidR="00F76E22" w:rsidRPr="009E77EC">
        <w:rPr>
          <w:rFonts w:eastAsia="標楷體"/>
          <w:sz w:val="24"/>
        </w:rPr>
        <w:t>、消耗性器材及原材料費用</w:t>
      </w:r>
    </w:p>
    <w:tbl>
      <w:tblPr>
        <w:tblW w:w="10080" w:type="dxa"/>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40"/>
        <w:gridCol w:w="3480"/>
        <w:gridCol w:w="5160"/>
      </w:tblGrid>
      <w:tr w:rsidR="009E77EC" w:rsidRPr="009E77EC" w:rsidTr="002C5F81">
        <w:trPr>
          <w:cantSplit/>
          <w:trHeight w:val="270"/>
        </w:trPr>
        <w:tc>
          <w:tcPr>
            <w:tcW w:w="1440" w:type="dxa"/>
            <w:vMerge w:val="restart"/>
            <w:vAlign w:val="center"/>
          </w:tcPr>
          <w:p w:rsidR="002C5F81" w:rsidRPr="009E77EC" w:rsidRDefault="002C5F81" w:rsidP="002C5F81">
            <w:pPr>
              <w:kinsoku w:val="0"/>
              <w:overflowPunct w:val="0"/>
              <w:spacing w:line="240" w:lineRule="exact"/>
              <w:jc w:val="center"/>
              <w:rPr>
                <w:spacing w:val="-6"/>
              </w:rPr>
            </w:pPr>
            <w:r w:rsidRPr="009E77EC">
              <w:rPr>
                <w:spacing w:val="-6"/>
              </w:rPr>
              <w:t>會計科目</w:t>
            </w:r>
          </w:p>
        </w:tc>
        <w:tc>
          <w:tcPr>
            <w:tcW w:w="3480" w:type="dxa"/>
            <w:vMerge w:val="restart"/>
            <w:vAlign w:val="center"/>
          </w:tcPr>
          <w:p w:rsidR="002C5F81" w:rsidRPr="009E77EC" w:rsidRDefault="002C5F81" w:rsidP="002C5F81">
            <w:pPr>
              <w:kinsoku w:val="0"/>
              <w:overflowPunct w:val="0"/>
              <w:spacing w:line="240" w:lineRule="exact"/>
              <w:ind w:left="142" w:hanging="142"/>
              <w:jc w:val="center"/>
              <w:rPr>
                <w:spacing w:val="-6"/>
              </w:rPr>
            </w:pPr>
            <w:r w:rsidRPr="009E77EC">
              <w:rPr>
                <w:spacing w:val="-6"/>
              </w:rPr>
              <w:t>科目說明</w:t>
            </w:r>
          </w:p>
        </w:tc>
        <w:tc>
          <w:tcPr>
            <w:tcW w:w="5160" w:type="dxa"/>
            <w:vMerge w:val="restart"/>
            <w:vAlign w:val="center"/>
          </w:tcPr>
          <w:p w:rsidR="002C5F81" w:rsidRPr="009E77EC" w:rsidRDefault="002C5F81" w:rsidP="002C5F81">
            <w:pPr>
              <w:kinsoku w:val="0"/>
              <w:overflowPunct w:val="0"/>
              <w:spacing w:line="240" w:lineRule="exact"/>
              <w:ind w:left="142" w:hanging="142"/>
              <w:jc w:val="center"/>
              <w:rPr>
                <w:spacing w:val="-6"/>
              </w:rPr>
            </w:pPr>
            <w:r w:rsidRPr="009E77EC">
              <w:rPr>
                <w:spacing w:val="-6"/>
              </w:rPr>
              <w:t>編列原則及注意事項</w:t>
            </w:r>
          </w:p>
        </w:tc>
      </w:tr>
      <w:tr w:rsidR="009E77EC" w:rsidRPr="009E77EC" w:rsidTr="002C5F81">
        <w:trPr>
          <w:cantSplit/>
          <w:trHeight w:val="276"/>
        </w:trPr>
        <w:tc>
          <w:tcPr>
            <w:tcW w:w="1440" w:type="dxa"/>
            <w:vMerge/>
            <w:vAlign w:val="center"/>
          </w:tcPr>
          <w:p w:rsidR="00F76E22" w:rsidRPr="009E77EC" w:rsidRDefault="00F76E22">
            <w:pPr>
              <w:kinsoku w:val="0"/>
              <w:overflowPunct w:val="0"/>
              <w:spacing w:line="200" w:lineRule="atLeast"/>
              <w:jc w:val="both"/>
            </w:pPr>
          </w:p>
        </w:tc>
        <w:tc>
          <w:tcPr>
            <w:tcW w:w="3480" w:type="dxa"/>
            <w:vMerge/>
            <w:vAlign w:val="center"/>
          </w:tcPr>
          <w:p w:rsidR="00F76E22" w:rsidRPr="009E77EC" w:rsidRDefault="00F76E22">
            <w:pPr>
              <w:kinsoku w:val="0"/>
              <w:overflowPunct w:val="0"/>
              <w:spacing w:line="200" w:lineRule="atLeast"/>
              <w:jc w:val="both"/>
            </w:pPr>
          </w:p>
        </w:tc>
        <w:tc>
          <w:tcPr>
            <w:tcW w:w="5160" w:type="dxa"/>
            <w:vMerge/>
            <w:vAlign w:val="center"/>
          </w:tcPr>
          <w:p w:rsidR="00F76E22" w:rsidRPr="009E77EC" w:rsidRDefault="00F76E22">
            <w:pPr>
              <w:kinsoku w:val="0"/>
              <w:overflowPunct w:val="0"/>
              <w:spacing w:line="235" w:lineRule="auto"/>
              <w:ind w:left="139" w:hanging="139"/>
              <w:jc w:val="both"/>
            </w:pPr>
          </w:p>
        </w:tc>
      </w:tr>
      <w:tr w:rsidR="009E77EC" w:rsidRPr="009E77EC" w:rsidTr="002C5F81">
        <w:tc>
          <w:tcPr>
            <w:tcW w:w="1440" w:type="dxa"/>
          </w:tcPr>
          <w:p w:rsidR="00F76E22" w:rsidRPr="009E77EC" w:rsidRDefault="00F76E22">
            <w:pPr>
              <w:kinsoku w:val="0"/>
              <w:overflowPunct w:val="0"/>
              <w:spacing w:before="40" w:after="40" w:line="200" w:lineRule="atLeast"/>
              <w:jc w:val="both"/>
            </w:pPr>
            <w:r w:rsidRPr="009E77EC">
              <w:t>消耗性器材及原材料費用</w:t>
            </w:r>
          </w:p>
        </w:tc>
        <w:tc>
          <w:tcPr>
            <w:tcW w:w="3480" w:type="dxa"/>
          </w:tcPr>
          <w:p w:rsidR="00F76E22" w:rsidRPr="009E77EC" w:rsidRDefault="00F76E22">
            <w:pPr>
              <w:tabs>
                <w:tab w:val="left" w:pos="227"/>
              </w:tabs>
              <w:kinsoku w:val="0"/>
              <w:overflowPunct w:val="0"/>
              <w:spacing w:before="40" w:after="40" w:line="200" w:lineRule="atLeast"/>
              <w:jc w:val="both"/>
            </w:pPr>
            <w:r w:rsidRPr="009E77EC">
              <w:t>專為執行計畫所發生之消耗性器材及材料費。惟不含屬固定資產之設備及辦公所需事務性耗材。</w:t>
            </w:r>
          </w:p>
        </w:tc>
        <w:tc>
          <w:tcPr>
            <w:tcW w:w="5160" w:type="dxa"/>
          </w:tcPr>
          <w:p w:rsidR="00F76E22" w:rsidRPr="009E77EC" w:rsidRDefault="00F76E22">
            <w:pPr>
              <w:kinsoku w:val="0"/>
              <w:overflowPunct w:val="0"/>
              <w:spacing w:before="40" w:after="40" w:line="200" w:lineRule="atLeast"/>
              <w:ind w:left="181" w:hanging="181"/>
              <w:jc w:val="both"/>
            </w:pPr>
            <w:r w:rsidRPr="009E77EC">
              <w:t>1.</w:t>
            </w:r>
            <w:r w:rsidRPr="009E77EC">
              <w:t>材料費應依計畫所需之項目、數量、金額編列，金額大或數量多者應逐項編列，較細微者可合併編列為其他項並註明。</w:t>
            </w:r>
          </w:p>
          <w:p w:rsidR="00F76E22" w:rsidRPr="009E77EC" w:rsidRDefault="00F76E22" w:rsidP="002C5F81">
            <w:pPr>
              <w:kinsoku w:val="0"/>
              <w:overflowPunct w:val="0"/>
              <w:spacing w:before="40" w:after="40" w:line="200" w:lineRule="atLeast"/>
              <w:ind w:left="181" w:hanging="181"/>
              <w:jc w:val="both"/>
            </w:pPr>
            <w:r w:rsidRPr="009E77EC">
              <w:t>2.</w:t>
            </w:r>
            <w:r w:rsidRPr="009E77EC">
              <w:t>請詳列材料費中</w:t>
            </w:r>
            <w:r w:rsidRPr="009E77EC">
              <w:t>70</w:t>
            </w:r>
            <w:r w:rsidR="002C5F81" w:rsidRPr="009E77EC">
              <w:t>%</w:t>
            </w:r>
            <w:r w:rsidRPr="009E77EC">
              <w:t>之項目。</w:t>
            </w:r>
            <w:r w:rsidRPr="009E77EC">
              <w:t xml:space="preserve"> </w:t>
            </w:r>
          </w:p>
        </w:tc>
      </w:tr>
    </w:tbl>
    <w:p w:rsidR="00F76E22" w:rsidRPr="009E77EC" w:rsidRDefault="00F76E22">
      <w:pPr>
        <w:pStyle w:val="a3"/>
        <w:tabs>
          <w:tab w:val="left" w:pos="4440"/>
        </w:tabs>
        <w:kinsoku w:val="0"/>
        <w:overflowPunct w:val="0"/>
        <w:spacing w:line="240" w:lineRule="atLeast"/>
        <w:jc w:val="left"/>
        <w:rPr>
          <w:rFonts w:eastAsia="標楷體"/>
          <w:sz w:val="24"/>
        </w:rPr>
      </w:pPr>
    </w:p>
    <w:p w:rsidR="00F76E22" w:rsidRPr="009E77EC" w:rsidRDefault="00C871CF">
      <w:pPr>
        <w:pStyle w:val="a3"/>
        <w:tabs>
          <w:tab w:val="left" w:pos="4440"/>
        </w:tabs>
        <w:kinsoku w:val="0"/>
        <w:overflowPunct w:val="0"/>
        <w:spacing w:line="240" w:lineRule="atLeast"/>
        <w:jc w:val="left"/>
        <w:rPr>
          <w:rFonts w:eastAsia="標楷體"/>
          <w:sz w:val="24"/>
        </w:rPr>
      </w:pPr>
      <w:r w:rsidRPr="009E77EC">
        <w:rPr>
          <w:rFonts w:eastAsia="標楷體"/>
          <w:sz w:val="24"/>
        </w:rPr>
        <w:t>五</w:t>
      </w:r>
      <w:r w:rsidR="00F76E22" w:rsidRPr="009E77EC">
        <w:rPr>
          <w:rFonts w:eastAsia="標楷體"/>
          <w:sz w:val="24"/>
        </w:rPr>
        <w:t>、維護費</w:t>
      </w:r>
    </w:p>
    <w:tbl>
      <w:tblPr>
        <w:tblW w:w="10080" w:type="dxa"/>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40"/>
        <w:gridCol w:w="3480"/>
        <w:gridCol w:w="5160"/>
      </w:tblGrid>
      <w:tr w:rsidR="009E77EC" w:rsidRPr="009E77EC" w:rsidTr="002C5F81">
        <w:trPr>
          <w:cantSplit/>
          <w:trHeight w:val="270"/>
        </w:trPr>
        <w:tc>
          <w:tcPr>
            <w:tcW w:w="1440" w:type="dxa"/>
            <w:vMerge w:val="restart"/>
            <w:tcBorders>
              <w:bottom w:val="nil"/>
            </w:tcBorders>
            <w:vAlign w:val="center"/>
          </w:tcPr>
          <w:p w:rsidR="002C5F81" w:rsidRPr="009E77EC" w:rsidRDefault="002C5F81" w:rsidP="002C5F81">
            <w:pPr>
              <w:kinsoku w:val="0"/>
              <w:overflowPunct w:val="0"/>
              <w:spacing w:line="240" w:lineRule="exact"/>
              <w:jc w:val="center"/>
              <w:rPr>
                <w:spacing w:val="-6"/>
              </w:rPr>
            </w:pPr>
            <w:r w:rsidRPr="009E77EC">
              <w:rPr>
                <w:spacing w:val="-6"/>
              </w:rPr>
              <w:t>會計科目</w:t>
            </w:r>
          </w:p>
        </w:tc>
        <w:tc>
          <w:tcPr>
            <w:tcW w:w="3480" w:type="dxa"/>
            <w:vMerge w:val="restart"/>
            <w:tcBorders>
              <w:bottom w:val="nil"/>
            </w:tcBorders>
            <w:vAlign w:val="center"/>
          </w:tcPr>
          <w:p w:rsidR="002C5F81" w:rsidRPr="009E77EC" w:rsidRDefault="002C5F81" w:rsidP="002C5F81">
            <w:pPr>
              <w:kinsoku w:val="0"/>
              <w:overflowPunct w:val="0"/>
              <w:spacing w:line="240" w:lineRule="exact"/>
              <w:ind w:left="142" w:hanging="142"/>
              <w:jc w:val="center"/>
              <w:rPr>
                <w:spacing w:val="-6"/>
              </w:rPr>
            </w:pPr>
            <w:r w:rsidRPr="009E77EC">
              <w:rPr>
                <w:spacing w:val="-6"/>
              </w:rPr>
              <w:t>科目說明</w:t>
            </w:r>
          </w:p>
        </w:tc>
        <w:tc>
          <w:tcPr>
            <w:tcW w:w="5160" w:type="dxa"/>
            <w:vMerge w:val="restart"/>
            <w:tcBorders>
              <w:bottom w:val="nil"/>
            </w:tcBorders>
            <w:vAlign w:val="center"/>
          </w:tcPr>
          <w:p w:rsidR="002C5F81" w:rsidRPr="009E77EC" w:rsidRDefault="002C5F81" w:rsidP="002C5F81">
            <w:pPr>
              <w:kinsoku w:val="0"/>
              <w:overflowPunct w:val="0"/>
              <w:spacing w:line="240" w:lineRule="exact"/>
              <w:ind w:left="142" w:hanging="142"/>
              <w:jc w:val="center"/>
              <w:rPr>
                <w:spacing w:val="-6"/>
              </w:rPr>
            </w:pPr>
            <w:r w:rsidRPr="009E77EC">
              <w:rPr>
                <w:spacing w:val="-6"/>
              </w:rPr>
              <w:t>編列原則及注意事項</w:t>
            </w:r>
          </w:p>
        </w:tc>
      </w:tr>
      <w:tr w:rsidR="009E77EC" w:rsidRPr="009E77EC" w:rsidTr="002C5F81">
        <w:trPr>
          <w:cantSplit/>
          <w:trHeight w:val="276"/>
        </w:trPr>
        <w:tc>
          <w:tcPr>
            <w:tcW w:w="1440" w:type="dxa"/>
            <w:vMerge/>
            <w:tcBorders>
              <w:top w:val="nil"/>
            </w:tcBorders>
          </w:tcPr>
          <w:p w:rsidR="00F76E22" w:rsidRPr="009E77EC" w:rsidRDefault="00F76E22">
            <w:pPr>
              <w:kinsoku w:val="0"/>
              <w:overflowPunct w:val="0"/>
              <w:spacing w:line="200" w:lineRule="atLeast"/>
              <w:jc w:val="both"/>
            </w:pPr>
          </w:p>
        </w:tc>
        <w:tc>
          <w:tcPr>
            <w:tcW w:w="3480" w:type="dxa"/>
            <w:vMerge/>
            <w:tcBorders>
              <w:top w:val="nil"/>
            </w:tcBorders>
          </w:tcPr>
          <w:p w:rsidR="00F76E22" w:rsidRPr="009E77EC" w:rsidRDefault="00F76E22">
            <w:pPr>
              <w:kinsoku w:val="0"/>
              <w:overflowPunct w:val="0"/>
              <w:spacing w:line="200" w:lineRule="atLeast"/>
              <w:jc w:val="both"/>
            </w:pPr>
          </w:p>
        </w:tc>
        <w:tc>
          <w:tcPr>
            <w:tcW w:w="5160" w:type="dxa"/>
            <w:vMerge/>
            <w:tcBorders>
              <w:top w:val="nil"/>
              <w:bottom w:val="single" w:sz="6" w:space="0" w:color="000000"/>
            </w:tcBorders>
          </w:tcPr>
          <w:p w:rsidR="00F76E22" w:rsidRPr="009E77EC" w:rsidRDefault="00F76E22">
            <w:pPr>
              <w:kinsoku w:val="0"/>
              <w:overflowPunct w:val="0"/>
              <w:spacing w:line="235" w:lineRule="auto"/>
              <w:ind w:left="139" w:hanging="139"/>
              <w:jc w:val="both"/>
            </w:pPr>
          </w:p>
        </w:tc>
      </w:tr>
      <w:tr w:rsidR="009E77EC" w:rsidRPr="009E77EC" w:rsidTr="002C5F81">
        <w:tc>
          <w:tcPr>
            <w:tcW w:w="1440" w:type="dxa"/>
          </w:tcPr>
          <w:p w:rsidR="00F76E22" w:rsidRPr="009E77EC" w:rsidRDefault="00F76E22">
            <w:pPr>
              <w:kinsoku w:val="0"/>
              <w:overflowPunct w:val="0"/>
              <w:spacing w:before="40" w:line="200" w:lineRule="atLeast"/>
              <w:jc w:val="both"/>
            </w:pPr>
            <w:r w:rsidRPr="009E77EC">
              <w:t>維護費</w:t>
            </w:r>
          </w:p>
        </w:tc>
        <w:tc>
          <w:tcPr>
            <w:tcW w:w="3480" w:type="dxa"/>
          </w:tcPr>
          <w:p w:rsidR="00F76E22" w:rsidRPr="009E77EC" w:rsidRDefault="00F76E22" w:rsidP="001C55BF">
            <w:pPr>
              <w:kinsoku w:val="0"/>
              <w:overflowPunct w:val="0"/>
              <w:spacing w:before="40" w:line="200" w:lineRule="atLeast"/>
              <w:jc w:val="both"/>
            </w:pPr>
            <w:r w:rsidRPr="009E77EC">
              <w:t>所稱維護費係指執行計畫下所核定機器及儀器設備</w:t>
            </w:r>
            <w:r w:rsidR="002C5F81" w:rsidRPr="009E77EC">
              <w:t>（</w:t>
            </w:r>
            <w:r w:rsidR="00D22880" w:rsidRPr="009E77EC">
              <w:t>含軟體</w:t>
            </w:r>
            <w:r w:rsidR="002C5F81" w:rsidRPr="009E77EC">
              <w:t>）</w:t>
            </w:r>
            <w:r w:rsidRPr="009E77EC">
              <w:t>依據研究發展設備維護合約，應按期分攤之維護費或實際支付之修繕費用。</w:t>
            </w:r>
          </w:p>
        </w:tc>
        <w:tc>
          <w:tcPr>
            <w:tcW w:w="5160" w:type="dxa"/>
          </w:tcPr>
          <w:p w:rsidR="00F76E22" w:rsidRPr="009E77EC" w:rsidRDefault="00F76E22">
            <w:pPr>
              <w:kinsoku w:val="0"/>
              <w:overflowPunct w:val="0"/>
              <w:spacing w:before="40" w:line="200" w:lineRule="atLeast"/>
              <w:ind w:left="181" w:hanging="181"/>
              <w:jc w:val="both"/>
            </w:pPr>
            <w:r w:rsidRPr="009E77EC">
              <w:t>1.</w:t>
            </w:r>
            <w:r w:rsidRPr="009E77EC">
              <w:t>設備於保固期間內不得編列維護費。</w:t>
            </w:r>
          </w:p>
          <w:p w:rsidR="00F76E22" w:rsidRPr="009E77EC" w:rsidRDefault="00F76E22">
            <w:pPr>
              <w:kinsoku w:val="0"/>
              <w:overflowPunct w:val="0"/>
              <w:spacing w:before="40" w:line="200" w:lineRule="atLeast"/>
              <w:ind w:left="181" w:hanging="181"/>
              <w:jc w:val="both"/>
            </w:pPr>
            <w:r w:rsidRPr="009E77EC">
              <w:t>2.</w:t>
            </w:r>
            <w:r w:rsidRPr="009E77EC">
              <w:t>設備維護若與供應商或其他提供維護勞務廠商簽訂年度維護合約者，其維護費則依維護合約每月之維護費按該設備使用於計畫之比例編列。</w:t>
            </w:r>
          </w:p>
          <w:p w:rsidR="00F76E22" w:rsidRPr="009E77EC" w:rsidRDefault="00F76E22">
            <w:pPr>
              <w:kinsoku w:val="0"/>
              <w:overflowPunct w:val="0"/>
              <w:spacing w:before="40" w:line="200" w:lineRule="atLeast"/>
              <w:ind w:left="181" w:hanging="181"/>
              <w:jc w:val="both"/>
            </w:pPr>
            <w:r w:rsidRPr="009E77EC">
              <w:t>3.</w:t>
            </w:r>
            <w:r w:rsidRPr="009E77EC">
              <w:t>未簽訂年度維護合約之設備，則其每年所編列維護費不得超過該設備購入成本之</w:t>
            </w:r>
            <w:r w:rsidRPr="009E77EC">
              <w:t>5%</w:t>
            </w:r>
            <w:r w:rsidRPr="009E77EC">
              <w:t>。</w:t>
            </w:r>
          </w:p>
        </w:tc>
      </w:tr>
    </w:tbl>
    <w:p w:rsidR="00F76E22" w:rsidRPr="009E77EC" w:rsidRDefault="00F76E22">
      <w:pPr>
        <w:pStyle w:val="a3"/>
        <w:tabs>
          <w:tab w:val="left" w:pos="4440"/>
        </w:tabs>
        <w:kinsoku w:val="0"/>
        <w:overflowPunct w:val="0"/>
        <w:spacing w:line="240" w:lineRule="atLeast"/>
        <w:jc w:val="left"/>
        <w:rPr>
          <w:rFonts w:eastAsia="標楷體"/>
          <w:sz w:val="24"/>
        </w:rPr>
      </w:pPr>
    </w:p>
    <w:p w:rsidR="00F76E22" w:rsidRPr="009E77EC" w:rsidRDefault="00C871CF">
      <w:pPr>
        <w:pStyle w:val="a3"/>
        <w:tabs>
          <w:tab w:val="left" w:pos="4440"/>
        </w:tabs>
        <w:kinsoku w:val="0"/>
        <w:overflowPunct w:val="0"/>
        <w:spacing w:line="240" w:lineRule="atLeast"/>
        <w:jc w:val="left"/>
        <w:rPr>
          <w:rFonts w:eastAsia="標楷體"/>
          <w:sz w:val="24"/>
        </w:rPr>
      </w:pPr>
      <w:r w:rsidRPr="009E77EC">
        <w:rPr>
          <w:rFonts w:eastAsia="標楷體"/>
          <w:sz w:val="24"/>
        </w:rPr>
        <w:t>六</w:t>
      </w:r>
      <w:r w:rsidR="00F76E22" w:rsidRPr="009E77EC">
        <w:rPr>
          <w:rFonts w:eastAsia="標楷體"/>
          <w:sz w:val="24"/>
        </w:rPr>
        <w:t>、業務費（含技術引進及委託研究費用）</w:t>
      </w:r>
    </w:p>
    <w:tbl>
      <w:tblPr>
        <w:tblW w:w="10080" w:type="dxa"/>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40"/>
        <w:gridCol w:w="3480"/>
        <w:gridCol w:w="5160"/>
      </w:tblGrid>
      <w:tr w:rsidR="009E77EC" w:rsidRPr="009E77EC" w:rsidTr="002C5F81">
        <w:trPr>
          <w:cantSplit/>
          <w:trHeight w:val="270"/>
        </w:trPr>
        <w:tc>
          <w:tcPr>
            <w:tcW w:w="1440" w:type="dxa"/>
            <w:vMerge w:val="restart"/>
            <w:tcBorders>
              <w:bottom w:val="nil"/>
            </w:tcBorders>
            <w:vAlign w:val="center"/>
          </w:tcPr>
          <w:p w:rsidR="002C5F81" w:rsidRPr="009E77EC" w:rsidRDefault="002C5F81" w:rsidP="002C5F81">
            <w:pPr>
              <w:kinsoku w:val="0"/>
              <w:overflowPunct w:val="0"/>
              <w:spacing w:line="240" w:lineRule="exact"/>
              <w:jc w:val="center"/>
              <w:rPr>
                <w:spacing w:val="-6"/>
              </w:rPr>
            </w:pPr>
            <w:r w:rsidRPr="009E77EC">
              <w:rPr>
                <w:spacing w:val="-6"/>
              </w:rPr>
              <w:t>會計科目</w:t>
            </w:r>
          </w:p>
        </w:tc>
        <w:tc>
          <w:tcPr>
            <w:tcW w:w="3480" w:type="dxa"/>
            <w:vMerge w:val="restart"/>
            <w:tcBorders>
              <w:bottom w:val="nil"/>
            </w:tcBorders>
            <w:vAlign w:val="center"/>
          </w:tcPr>
          <w:p w:rsidR="002C5F81" w:rsidRPr="009E77EC" w:rsidRDefault="002C5F81" w:rsidP="002C5F81">
            <w:pPr>
              <w:kinsoku w:val="0"/>
              <w:overflowPunct w:val="0"/>
              <w:spacing w:line="240" w:lineRule="exact"/>
              <w:ind w:left="142" w:hanging="142"/>
              <w:jc w:val="center"/>
              <w:rPr>
                <w:spacing w:val="-6"/>
              </w:rPr>
            </w:pPr>
            <w:r w:rsidRPr="009E77EC">
              <w:rPr>
                <w:spacing w:val="-6"/>
              </w:rPr>
              <w:t>科目說明</w:t>
            </w:r>
          </w:p>
        </w:tc>
        <w:tc>
          <w:tcPr>
            <w:tcW w:w="5160" w:type="dxa"/>
            <w:vMerge w:val="restart"/>
            <w:tcBorders>
              <w:bottom w:val="nil"/>
            </w:tcBorders>
            <w:vAlign w:val="center"/>
          </w:tcPr>
          <w:p w:rsidR="002C5F81" w:rsidRPr="009E77EC" w:rsidRDefault="002C5F81" w:rsidP="002C5F81">
            <w:pPr>
              <w:kinsoku w:val="0"/>
              <w:overflowPunct w:val="0"/>
              <w:spacing w:line="240" w:lineRule="exact"/>
              <w:ind w:left="142" w:hanging="142"/>
              <w:jc w:val="center"/>
              <w:rPr>
                <w:spacing w:val="-6"/>
              </w:rPr>
            </w:pPr>
            <w:r w:rsidRPr="009E77EC">
              <w:rPr>
                <w:spacing w:val="-6"/>
              </w:rPr>
              <w:t>編列原則及注意事項</w:t>
            </w:r>
          </w:p>
        </w:tc>
      </w:tr>
      <w:tr w:rsidR="009E77EC" w:rsidRPr="009E77EC" w:rsidTr="002C5F81">
        <w:trPr>
          <w:cantSplit/>
          <w:trHeight w:val="276"/>
        </w:trPr>
        <w:tc>
          <w:tcPr>
            <w:tcW w:w="1440" w:type="dxa"/>
            <w:vMerge/>
            <w:tcBorders>
              <w:top w:val="nil"/>
            </w:tcBorders>
          </w:tcPr>
          <w:p w:rsidR="00F76E22" w:rsidRPr="009E77EC" w:rsidRDefault="00F76E22">
            <w:pPr>
              <w:kinsoku w:val="0"/>
              <w:overflowPunct w:val="0"/>
              <w:spacing w:line="200" w:lineRule="atLeast"/>
              <w:jc w:val="both"/>
            </w:pPr>
          </w:p>
        </w:tc>
        <w:tc>
          <w:tcPr>
            <w:tcW w:w="3480" w:type="dxa"/>
            <w:vMerge/>
            <w:tcBorders>
              <w:top w:val="nil"/>
            </w:tcBorders>
          </w:tcPr>
          <w:p w:rsidR="00F76E22" w:rsidRPr="009E77EC" w:rsidRDefault="00F76E22">
            <w:pPr>
              <w:kinsoku w:val="0"/>
              <w:overflowPunct w:val="0"/>
              <w:spacing w:line="200" w:lineRule="atLeast"/>
              <w:jc w:val="both"/>
            </w:pPr>
          </w:p>
        </w:tc>
        <w:tc>
          <w:tcPr>
            <w:tcW w:w="5160" w:type="dxa"/>
            <w:vMerge/>
            <w:tcBorders>
              <w:top w:val="nil"/>
              <w:bottom w:val="single" w:sz="6" w:space="0" w:color="000000"/>
            </w:tcBorders>
          </w:tcPr>
          <w:p w:rsidR="00F76E22" w:rsidRPr="009E77EC" w:rsidRDefault="00F76E22">
            <w:pPr>
              <w:kinsoku w:val="0"/>
              <w:overflowPunct w:val="0"/>
              <w:spacing w:line="235" w:lineRule="auto"/>
              <w:ind w:left="139" w:hanging="139"/>
              <w:jc w:val="both"/>
            </w:pPr>
          </w:p>
        </w:tc>
      </w:tr>
      <w:tr w:rsidR="009E77EC" w:rsidRPr="009E77EC" w:rsidTr="002C5F81">
        <w:tc>
          <w:tcPr>
            <w:tcW w:w="1440" w:type="dxa"/>
          </w:tcPr>
          <w:p w:rsidR="00F76E22" w:rsidRPr="009E77EC" w:rsidRDefault="00F76E22">
            <w:pPr>
              <w:kinsoku w:val="0"/>
              <w:overflowPunct w:val="0"/>
              <w:spacing w:before="40" w:line="200" w:lineRule="atLeast"/>
              <w:jc w:val="both"/>
            </w:pPr>
            <w:r w:rsidRPr="009E77EC">
              <w:t>1.</w:t>
            </w:r>
            <w:r w:rsidRPr="009E77EC">
              <w:t>一般業務費</w:t>
            </w:r>
          </w:p>
        </w:tc>
        <w:tc>
          <w:tcPr>
            <w:tcW w:w="3480" w:type="dxa"/>
          </w:tcPr>
          <w:p w:rsidR="00F76E22" w:rsidRPr="009E77EC" w:rsidRDefault="00F76E22">
            <w:pPr>
              <w:kinsoku w:val="0"/>
              <w:overflowPunct w:val="0"/>
              <w:spacing w:before="40" w:line="200" w:lineRule="atLeast"/>
              <w:jc w:val="both"/>
            </w:pPr>
            <w:r w:rsidRPr="009E77EC">
              <w:t>演講費、出席費、審查費、鐘點費、訓練費、文具紙張及印刷影印費、郵電費、油脂及消耗、水電費、租金、智慧權費用、資訊軟體費、測試費、勞務及其他計畫相關項目等</w:t>
            </w:r>
          </w:p>
        </w:tc>
        <w:tc>
          <w:tcPr>
            <w:tcW w:w="5160" w:type="dxa"/>
          </w:tcPr>
          <w:p w:rsidR="00F76E22" w:rsidRPr="009E77EC" w:rsidRDefault="00F76E22">
            <w:pPr>
              <w:kinsoku w:val="0"/>
              <w:overflowPunct w:val="0"/>
              <w:spacing w:before="40" w:line="200" w:lineRule="atLeast"/>
              <w:ind w:left="139" w:hanging="139"/>
              <w:jc w:val="both"/>
            </w:pPr>
            <w:r w:rsidRPr="009E77EC">
              <w:t>各項目應列出經費估算方式。</w:t>
            </w:r>
          </w:p>
          <w:p w:rsidR="009E30A4" w:rsidRPr="009E77EC" w:rsidRDefault="009E30A4" w:rsidP="00D22880">
            <w:pPr>
              <w:kinsoku w:val="0"/>
              <w:overflowPunct w:val="0"/>
              <w:spacing w:before="40" w:line="200" w:lineRule="atLeast"/>
              <w:jc w:val="both"/>
            </w:pPr>
          </w:p>
        </w:tc>
      </w:tr>
      <w:tr w:rsidR="009E77EC" w:rsidRPr="009E77EC" w:rsidTr="002C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Pr>
          <w:p w:rsidR="00F76E22" w:rsidRPr="009E77EC" w:rsidRDefault="00F76E22">
            <w:pPr>
              <w:kinsoku w:val="0"/>
              <w:overflowPunct w:val="0"/>
              <w:spacing w:before="40" w:after="40" w:line="200" w:lineRule="atLeast"/>
              <w:jc w:val="both"/>
            </w:pPr>
            <w:r w:rsidRPr="009E77EC">
              <w:t>2.</w:t>
            </w:r>
            <w:r w:rsidRPr="009E77EC">
              <w:t>顧問費</w:t>
            </w:r>
          </w:p>
        </w:tc>
        <w:tc>
          <w:tcPr>
            <w:tcW w:w="3480" w:type="dxa"/>
          </w:tcPr>
          <w:p w:rsidR="00F76E22" w:rsidRPr="009E77EC" w:rsidRDefault="00F76E22">
            <w:pPr>
              <w:kinsoku w:val="0"/>
              <w:overflowPunct w:val="0"/>
              <w:spacing w:before="40" w:line="200" w:lineRule="atLeast"/>
              <w:jc w:val="both"/>
            </w:pPr>
            <w:r w:rsidRPr="009E77EC">
              <w:t>計畫聘請顧問及國外專家之酬勞費。</w:t>
            </w:r>
          </w:p>
        </w:tc>
        <w:tc>
          <w:tcPr>
            <w:tcW w:w="5160" w:type="dxa"/>
          </w:tcPr>
          <w:p w:rsidR="00F76E22" w:rsidRPr="009E77EC" w:rsidRDefault="00F76E22">
            <w:pPr>
              <w:kinsoku w:val="0"/>
              <w:overflowPunct w:val="0"/>
              <w:spacing w:before="40" w:after="40" w:line="200" w:lineRule="atLeast"/>
              <w:ind w:left="181" w:hanging="181"/>
              <w:jc w:val="both"/>
            </w:pPr>
            <w:r w:rsidRPr="009E77EC">
              <w:t>1.</w:t>
            </w:r>
            <w:r w:rsidRPr="009E77EC">
              <w:t>顧問及國外專家之聘用，應於計畫書中明列。</w:t>
            </w:r>
          </w:p>
          <w:p w:rsidR="00F76E22" w:rsidRPr="009E77EC" w:rsidRDefault="00F76E22">
            <w:pPr>
              <w:kinsoku w:val="0"/>
              <w:overflowPunct w:val="0"/>
              <w:spacing w:before="40" w:after="40" w:line="200" w:lineRule="atLeast"/>
              <w:ind w:left="181" w:hanging="181"/>
              <w:jc w:val="both"/>
            </w:pPr>
            <w:r w:rsidRPr="009E77EC">
              <w:t>2.</w:t>
            </w:r>
            <w:r w:rsidRPr="009E77EC">
              <w:t>編列顧問費應提供技術背景、學經歷資料以為審查之依據。</w:t>
            </w:r>
          </w:p>
          <w:p w:rsidR="00F76E22" w:rsidRPr="009E77EC" w:rsidRDefault="00F76E22">
            <w:pPr>
              <w:kinsoku w:val="0"/>
              <w:overflowPunct w:val="0"/>
              <w:spacing w:before="40" w:after="40" w:line="200" w:lineRule="atLeast"/>
              <w:ind w:left="181" w:hanging="181"/>
              <w:jc w:val="both"/>
            </w:pPr>
            <w:r w:rsidRPr="009E77EC">
              <w:lastRenderedPageBreak/>
              <w:t>3.</w:t>
            </w:r>
            <w:r w:rsidRPr="009E77EC">
              <w:t>顧問及國外專家之服務單位如為技術引進或合作研究對象則不得編列費用。</w:t>
            </w:r>
          </w:p>
          <w:p w:rsidR="00F76E22" w:rsidRPr="009E77EC" w:rsidRDefault="00F76E22">
            <w:pPr>
              <w:kinsoku w:val="0"/>
              <w:overflowPunct w:val="0"/>
              <w:spacing w:before="40" w:after="40" w:line="200" w:lineRule="atLeast"/>
              <w:ind w:left="181" w:hanging="181"/>
              <w:jc w:val="both"/>
            </w:pPr>
            <w:r w:rsidRPr="009E77EC">
              <w:t>4.</w:t>
            </w:r>
            <w:r w:rsidRPr="009E77EC">
              <w:t>「國外專家」，依諾貝爾級、特聘講座、教授及副教授級分類，說明及酬勞費編列方式，請參考「肆、聘請國外專家酬勞費標準」。</w:t>
            </w:r>
          </w:p>
        </w:tc>
      </w:tr>
      <w:tr w:rsidR="009E77EC" w:rsidRPr="009E77EC" w:rsidTr="002C5F81">
        <w:tc>
          <w:tcPr>
            <w:tcW w:w="1440" w:type="dxa"/>
          </w:tcPr>
          <w:p w:rsidR="00F76E22" w:rsidRPr="009E77EC" w:rsidRDefault="00F76E22">
            <w:pPr>
              <w:kinsoku w:val="0"/>
              <w:overflowPunct w:val="0"/>
              <w:spacing w:before="40" w:line="200" w:lineRule="atLeast"/>
              <w:ind w:left="113" w:hanging="113"/>
              <w:jc w:val="both"/>
            </w:pPr>
            <w:r w:rsidRPr="009E77EC">
              <w:lastRenderedPageBreak/>
              <w:t>3.</w:t>
            </w:r>
            <w:r w:rsidRPr="009E77EC">
              <w:t>技術引進費</w:t>
            </w:r>
          </w:p>
        </w:tc>
        <w:tc>
          <w:tcPr>
            <w:tcW w:w="3480" w:type="dxa"/>
          </w:tcPr>
          <w:p w:rsidR="00F76E22" w:rsidRPr="009E77EC" w:rsidRDefault="00F76E22">
            <w:pPr>
              <w:kinsoku w:val="0"/>
              <w:overflowPunct w:val="0"/>
              <w:spacing w:before="40" w:line="200" w:lineRule="atLeast"/>
              <w:jc w:val="both"/>
            </w:pPr>
            <w:r w:rsidRPr="009E77EC">
              <w:t>經由技術合作、技術授權、技術指導</w:t>
            </w:r>
            <w:r w:rsidRPr="009E77EC">
              <w:t>(</w:t>
            </w:r>
            <w:r w:rsidRPr="009E77EC">
              <w:t>相關技術援助、技術訓練、技術諮詢、技術研究</w:t>
            </w:r>
            <w:r w:rsidRPr="009E77EC">
              <w:t>)</w:t>
            </w:r>
            <w:r w:rsidRPr="009E77EC">
              <w:t>等方式，以取得國外先進之技術引進國內之費用</w:t>
            </w:r>
          </w:p>
        </w:tc>
        <w:tc>
          <w:tcPr>
            <w:tcW w:w="5160" w:type="dxa"/>
          </w:tcPr>
          <w:p w:rsidR="00F76E22" w:rsidRPr="009E77EC" w:rsidRDefault="00F76E22" w:rsidP="005629F9">
            <w:pPr>
              <w:pStyle w:val="3"/>
              <w:rPr>
                <w:rFonts w:ascii="Times New Roman" w:hAnsi="Times New Roman"/>
                <w:sz w:val="24"/>
              </w:rPr>
            </w:pPr>
            <w:r w:rsidRPr="009E77EC">
              <w:rPr>
                <w:rFonts w:ascii="Times New Roman" w:hAnsi="Times New Roman"/>
                <w:sz w:val="24"/>
              </w:rPr>
              <w:t>其編列應述明技術提供者、技術內容、經費及技術來源者背景資料，並需提供合約、草約或備忘錄。</w:t>
            </w:r>
            <w:r w:rsidR="008A69F3" w:rsidRPr="009E77EC">
              <w:rPr>
                <w:rFonts w:ascii="Times New Roman" w:hAnsi="Times New Roman"/>
                <w:sz w:val="24"/>
                <w:szCs w:val="24"/>
              </w:rPr>
              <w:t>若計畫審查時尚未完成採購程序，故不能詳列相關資訊或檢附上述文件者，應於計畫執行期間</w:t>
            </w:r>
            <w:r w:rsidR="00E571D4" w:rsidRPr="009E77EC">
              <w:rPr>
                <w:rFonts w:ascii="Times New Roman" w:hAnsi="Times New Roman"/>
                <w:sz w:val="24"/>
                <w:szCs w:val="24"/>
              </w:rPr>
              <w:t>，</w:t>
            </w:r>
            <w:r w:rsidR="008A69F3" w:rsidRPr="009E77EC">
              <w:rPr>
                <w:rFonts w:ascii="Times New Roman" w:hAnsi="Times New Roman"/>
                <w:sz w:val="24"/>
                <w:szCs w:val="24"/>
              </w:rPr>
              <w:t>於各期程報告補充相關資訊。</w:t>
            </w:r>
          </w:p>
        </w:tc>
      </w:tr>
      <w:tr w:rsidR="009E77EC" w:rsidRPr="009E77EC" w:rsidTr="002C5F81">
        <w:tc>
          <w:tcPr>
            <w:tcW w:w="1440" w:type="dxa"/>
          </w:tcPr>
          <w:p w:rsidR="00F76E22" w:rsidRPr="009E77EC" w:rsidRDefault="00F76E22">
            <w:pPr>
              <w:kinsoku w:val="0"/>
              <w:overflowPunct w:val="0"/>
              <w:spacing w:before="40" w:line="200" w:lineRule="atLeast"/>
              <w:ind w:left="210" w:hanging="210"/>
              <w:jc w:val="both"/>
            </w:pPr>
            <w:r w:rsidRPr="009E77EC">
              <w:t>4.</w:t>
            </w:r>
            <w:r w:rsidRPr="009E77EC">
              <w:t>合作研究費</w:t>
            </w:r>
          </w:p>
        </w:tc>
        <w:tc>
          <w:tcPr>
            <w:tcW w:w="3480" w:type="dxa"/>
          </w:tcPr>
          <w:p w:rsidR="00F76E22" w:rsidRPr="009E77EC" w:rsidRDefault="00F76E22">
            <w:pPr>
              <w:kinsoku w:val="0"/>
              <w:overflowPunct w:val="0"/>
              <w:spacing w:before="40" w:line="200" w:lineRule="atLeast"/>
              <w:jc w:val="both"/>
            </w:pPr>
            <w:r w:rsidRPr="009E77EC">
              <w:t>委託外界機構、學術單位專案研究之費用</w:t>
            </w:r>
          </w:p>
        </w:tc>
        <w:tc>
          <w:tcPr>
            <w:tcW w:w="5160" w:type="dxa"/>
          </w:tcPr>
          <w:p w:rsidR="00F76E22" w:rsidRPr="009E77EC" w:rsidRDefault="00F76E22">
            <w:pPr>
              <w:pStyle w:val="3"/>
              <w:rPr>
                <w:rFonts w:ascii="Times New Roman" w:hAnsi="Times New Roman"/>
                <w:sz w:val="24"/>
              </w:rPr>
            </w:pPr>
            <w:r w:rsidRPr="009E77EC">
              <w:rPr>
                <w:rFonts w:ascii="Times New Roman" w:hAnsi="Times New Roman"/>
                <w:sz w:val="24"/>
              </w:rPr>
              <w:t>其編列應述明合作研究之內容、經費及受委託者背景資料，並需提供合約、草約或備忘錄。</w:t>
            </w:r>
            <w:r w:rsidR="008A69F3" w:rsidRPr="009E77EC">
              <w:rPr>
                <w:rFonts w:ascii="Times New Roman" w:hAnsi="Times New Roman"/>
                <w:sz w:val="24"/>
                <w:szCs w:val="24"/>
              </w:rPr>
              <w:t>若計畫審查時尚未完成採購程序，故不能詳列相關資訊或檢附上述文件者，應於計畫執行期間</w:t>
            </w:r>
            <w:r w:rsidR="00E571D4" w:rsidRPr="009E77EC">
              <w:rPr>
                <w:rFonts w:ascii="Times New Roman" w:hAnsi="Times New Roman"/>
                <w:sz w:val="24"/>
                <w:szCs w:val="24"/>
              </w:rPr>
              <w:t>，</w:t>
            </w:r>
            <w:r w:rsidR="008A69F3" w:rsidRPr="009E77EC">
              <w:rPr>
                <w:rFonts w:ascii="Times New Roman" w:hAnsi="Times New Roman"/>
                <w:sz w:val="24"/>
                <w:szCs w:val="24"/>
              </w:rPr>
              <w:t>於各期程報告補充相關資訊。</w:t>
            </w:r>
          </w:p>
        </w:tc>
      </w:tr>
    </w:tbl>
    <w:p w:rsidR="00F76E22" w:rsidRPr="009E77EC" w:rsidRDefault="00F76E22">
      <w:pPr>
        <w:pStyle w:val="a3"/>
        <w:tabs>
          <w:tab w:val="left" w:pos="4440"/>
        </w:tabs>
        <w:kinsoku w:val="0"/>
        <w:overflowPunct w:val="0"/>
        <w:spacing w:line="240" w:lineRule="atLeast"/>
        <w:jc w:val="left"/>
        <w:rPr>
          <w:rFonts w:eastAsia="標楷體"/>
          <w:sz w:val="24"/>
        </w:rPr>
      </w:pPr>
    </w:p>
    <w:p w:rsidR="00F76E22" w:rsidRPr="009E77EC" w:rsidRDefault="00C871CF">
      <w:pPr>
        <w:pStyle w:val="a3"/>
        <w:tabs>
          <w:tab w:val="left" w:pos="4440"/>
        </w:tabs>
        <w:kinsoku w:val="0"/>
        <w:overflowPunct w:val="0"/>
        <w:spacing w:line="240" w:lineRule="atLeast"/>
        <w:jc w:val="left"/>
        <w:rPr>
          <w:rFonts w:eastAsia="標楷體"/>
          <w:sz w:val="24"/>
        </w:rPr>
      </w:pPr>
      <w:r w:rsidRPr="009E77EC">
        <w:rPr>
          <w:rFonts w:eastAsia="標楷體"/>
          <w:sz w:val="24"/>
        </w:rPr>
        <w:t>七</w:t>
      </w:r>
      <w:r w:rsidR="00F76E22" w:rsidRPr="009E77EC">
        <w:rPr>
          <w:rFonts w:eastAsia="標楷體"/>
          <w:sz w:val="24"/>
        </w:rPr>
        <w:t>、研究發展設備之使用費</w:t>
      </w:r>
    </w:p>
    <w:tbl>
      <w:tblPr>
        <w:tblW w:w="10080" w:type="dxa"/>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40"/>
        <w:gridCol w:w="3480"/>
        <w:gridCol w:w="5160"/>
      </w:tblGrid>
      <w:tr w:rsidR="009E77EC" w:rsidRPr="009E77EC" w:rsidTr="00521FB5">
        <w:trPr>
          <w:cantSplit/>
          <w:trHeight w:val="270"/>
        </w:trPr>
        <w:tc>
          <w:tcPr>
            <w:tcW w:w="1440" w:type="dxa"/>
            <w:vMerge w:val="restart"/>
            <w:tcBorders>
              <w:bottom w:val="nil"/>
            </w:tcBorders>
            <w:vAlign w:val="center"/>
          </w:tcPr>
          <w:p w:rsidR="002C5F81" w:rsidRPr="009E77EC" w:rsidRDefault="002C5F81" w:rsidP="002C5F81">
            <w:pPr>
              <w:kinsoku w:val="0"/>
              <w:overflowPunct w:val="0"/>
              <w:spacing w:line="240" w:lineRule="exact"/>
              <w:jc w:val="center"/>
              <w:rPr>
                <w:spacing w:val="-6"/>
              </w:rPr>
            </w:pPr>
            <w:r w:rsidRPr="009E77EC">
              <w:rPr>
                <w:spacing w:val="-6"/>
              </w:rPr>
              <w:t>會計科目</w:t>
            </w:r>
          </w:p>
        </w:tc>
        <w:tc>
          <w:tcPr>
            <w:tcW w:w="3480" w:type="dxa"/>
            <w:vMerge w:val="restart"/>
            <w:tcBorders>
              <w:bottom w:val="nil"/>
            </w:tcBorders>
            <w:vAlign w:val="center"/>
          </w:tcPr>
          <w:p w:rsidR="002C5F81" w:rsidRPr="009E77EC" w:rsidRDefault="002C5F81" w:rsidP="002C5F81">
            <w:pPr>
              <w:kinsoku w:val="0"/>
              <w:overflowPunct w:val="0"/>
              <w:spacing w:line="240" w:lineRule="exact"/>
              <w:ind w:left="142" w:hanging="142"/>
              <w:jc w:val="center"/>
              <w:rPr>
                <w:spacing w:val="-6"/>
              </w:rPr>
            </w:pPr>
            <w:r w:rsidRPr="009E77EC">
              <w:rPr>
                <w:spacing w:val="-6"/>
              </w:rPr>
              <w:t>科目說明</w:t>
            </w:r>
          </w:p>
        </w:tc>
        <w:tc>
          <w:tcPr>
            <w:tcW w:w="5160" w:type="dxa"/>
            <w:vMerge w:val="restart"/>
            <w:tcBorders>
              <w:bottom w:val="nil"/>
            </w:tcBorders>
            <w:vAlign w:val="center"/>
          </w:tcPr>
          <w:p w:rsidR="002C5F81" w:rsidRPr="009E77EC" w:rsidRDefault="002C5F81" w:rsidP="002C5F81">
            <w:pPr>
              <w:kinsoku w:val="0"/>
              <w:overflowPunct w:val="0"/>
              <w:spacing w:line="240" w:lineRule="exact"/>
              <w:ind w:left="142" w:hanging="142"/>
              <w:jc w:val="center"/>
              <w:rPr>
                <w:spacing w:val="-6"/>
              </w:rPr>
            </w:pPr>
            <w:r w:rsidRPr="009E77EC">
              <w:rPr>
                <w:spacing w:val="-6"/>
              </w:rPr>
              <w:t>編列原則及注意事項</w:t>
            </w:r>
          </w:p>
        </w:tc>
      </w:tr>
      <w:tr w:rsidR="009E77EC" w:rsidRPr="009E77EC" w:rsidTr="00521FB5">
        <w:trPr>
          <w:cantSplit/>
          <w:trHeight w:val="276"/>
        </w:trPr>
        <w:tc>
          <w:tcPr>
            <w:tcW w:w="1440" w:type="dxa"/>
            <w:vMerge/>
            <w:tcBorders>
              <w:top w:val="nil"/>
            </w:tcBorders>
          </w:tcPr>
          <w:p w:rsidR="00F76E22" w:rsidRPr="009E77EC" w:rsidRDefault="00F76E22">
            <w:pPr>
              <w:kinsoku w:val="0"/>
              <w:overflowPunct w:val="0"/>
              <w:spacing w:line="200" w:lineRule="atLeast"/>
              <w:jc w:val="both"/>
            </w:pPr>
          </w:p>
        </w:tc>
        <w:tc>
          <w:tcPr>
            <w:tcW w:w="3480" w:type="dxa"/>
            <w:vMerge/>
            <w:tcBorders>
              <w:top w:val="nil"/>
            </w:tcBorders>
          </w:tcPr>
          <w:p w:rsidR="00F76E22" w:rsidRPr="009E77EC" w:rsidRDefault="00F76E22">
            <w:pPr>
              <w:kinsoku w:val="0"/>
              <w:overflowPunct w:val="0"/>
              <w:spacing w:line="200" w:lineRule="atLeast"/>
              <w:jc w:val="both"/>
            </w:pPr>
          </w:p>
        </w:tc>
        <w:tc>
          <w:tcPr>
            <w:tcW w:w="5160" w:type="dxa"/>
            <w:vMerge/>
            <w:tcBorders>
              <w:top w:val="nil"/>
              <w:bottom w:val="single" w:sz="6" w:space="0" w:color="000000"/>
            </w:tcBorders>
          </w:tcPr>
          <w:p w:rsidR="00F76E22" w:rsidRPr="009E77EC" w:rsidRDefault="00F76E22">
            <w:pPr>
              <w:kinsoku w:val="0"/>
              <w:overflowPunct w:val="0"/>
              <w:spacing w:line="235" w:lineRule="auto"/>
              <w:ind w:left="139" w:hanging="139"/>
              <w:jc w:val="both"/>
            </w:pPr>
          </w:p>
        </w:tc>
      </w:tr>
      <w:tr w:rsidR="009E77EC" w:rsidRPr="009E77EC" w:rsidTr="00521FB5">
        <w:tc>
          <w:tcPr>
            <w:tcW w:w="1440" w:type="dxa"/>
          </w:tcPr>
          <w:p w:rsidR="00F76E22" w:rsidRPr="009E77EC" w:rsidRDefault="00F76E22">
            <w:pPr>
              <w:kinsoku w:val="0"/>
              <w:overflowPunct w:val="0"/>
              <w:spacing w:line="200" w:lineRule="atLeast"/>
              <w:jc w:val="both"/>
            </w:pPr>
            <w:r w:rsidRPr="009E77EC">
              <w:t>研究發展設備之使用費</w:t>
            </w:r>
          </w:p>
        </w:tc>
        <w:tc>
          <w:tcPr>
            <w:tcW w:w="3480" w:type="dxa"/>
          </w:tcPr>
          <w:p w:rsidR="00F76E22" w:rsidRPr="009E77EC" w:rsidRDefault="00FC5B3B" w:rsidP="004A6201">
            <w:pPr>
              <w:kinsoku w:val="0"/>
              <w:overflowPunct w:val="0"/>
              <w:spacing w:line="200" w:lineRule="atLeast"/>
              <w:jc w:val="both"/>
            </w:pPr>
            <w:r w:rsidRPr="009E77EC">
              <w:t>執行計畫所必需使用之機器、儀器設備或軟體，依雙方議定使用費計算式按實提列或分攤之設備使用費屬之。</w:t>
            </w:r>
          </w:p>
        </w:tc>
        <w:tc>
          <w:tcPr>
            <w:tcW w:w="5160" w:type="dxa"/>
          </w:tcPr>
          <w:p w:rsidR="00F76E22" w:rsidRPr="009E77EC" w:rsidRDefault="00FC5B3B" w:rsidP="00CD2085">
            <w:pPr>
              <w:spacing w:before="120"/>
              <w:ind w:right="113"/>
            </w:pPr>
            <w:r w:rsidRPr="009E77EC">
              <w:t>1.</w:t>
            </w:r>
            <w:r w:rsidRPr="009E77EC">
              <w:t>計算公式：</w:t>
            </w:r>
          </w:p>
          <w:p w:rsidR="008D26FE" w:rsidRPr="009E77EC" w:rsidRDefault="008D26FE" w:rsidP="008D26FE"/>
          <w:p w:rsidR="00F76E22" w:rsidRPr="009E77EC" w:rsidRDefault="00C96482">
            <w:pPr>
              <w:ind w:right="113"/>
            </w:pPr>
            <m:oMathPara>
              <m:oMath>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C</m:t>
                        </m:r>
                      </m:num>
                      <m:den>
                        <m:r>
                          <m:rPr>
                            <m:sty m:val="p"/>
                          </m:rPr>
                          <w:rPr>
                            <w:rFonts w:ascii="Cambria Math" w:hAnsi="Cambria Math"/>
                          </w:rPr>
                          <m:t>N</m:t>
                        </m:r>
                      </m:den>
                    </m:f>
                    <m:r>
                      <m:rPr>
                        <m:sty m:val="p"/>
                      </m:rPr>
                      <w:rPr>
                        <w:rFonts w:ascii="Cambria Math" w:hAnsi="Cambria Math"/>
                      </w:rPr>
                      <m:t>+(C×</m:t>
                    </m:r>
                    <m:f>
                      <m:fPr>
                        <m:ctrlPr>
                          <w:rPr>
                            <w:rFonts w:ascii="Cambria Math" w:hAnsi="Cambria Math"/>
                          </w:rPr>
                        </m:ctrlPr>
                      </m:fPr>
                      <m:num>
                        <m:r>
                          <m:rPr>
                            <m:sty m:val="p"/>
                          </m:rPr>
                          <w:rPr>
                            <w:rFonts w:ascii="Cambria Math" w:hAnsi="Cambria Math"/>
                          </w:rPr>
                          <m:t>N-</m:t>
                        </m:r>
                        <m:d>
                          <m:dPr>
                            <m:ctrlPr>
                              <w:rPr>
                                <w:rFonts w:ascii="Cambria Math" w:hAnsi="Cambria Math"/>
                              </w:rPr>
                            </m:ctrlPr>
                          </m:dPr>
                          <m:e>
                            <m:r>
                              <m:rPr>
                                <m:sty m:val="p"/>
                              </m:rPr>
                              <w:rPr>
                                <w:rFonts w:ascii="Cambria Math" w:hAnsi="Cambria Math"/>
                              </w:rPr>
                              <m:t>X-1</m:t>
                            </m:r>
                          </m:e>
                        </m:d>
                      </m:num>
                      <m:den>
                        <m:r>
                          <m:rPr>
                            <m:sty m:val="p"/>
                          </m:rPr>
                          <w:rPr>
                            <w:rFonts w:ascii="Cambria Math" w:hAnsi="Cambria Math"/>
                          </w:rPr>
                          <m:t>N</m:t>
                        </m:r>
                      </m:den>
                    </m:f>
                    <m:r>
                      <m:rPr>
                        <m:sty m:val="p"/>
                      </m:rPr>
                      <w:rPr>
                        <w:rFonts w:ascii="Cambria Math" w:hAnsi="Cambria Math"/>
                      </w:rPr>
                      <m:t>)×R</m:t>
                    </m:r>
                  </m:e>
                </m:d>
                <m:r>
                  <m:rPr>
                    <m:sty m:val="p"/>
                  </m:rPr>
                  <w:rPr>
                    <w:rFonts w:ascii="Cambria Math" w:hAnsi="Cambria Math"/>
                  </w:rPr>
                  <m:t>×UR%</m:t>
                </m:r>
              </m:oMath>
            </m:oMathPara>
          </w:p>
          <w:p w:rsidR="00F76E22" w:rsidRPr="009E77EC" w:rsidRDefault="00F76E22">
            <w:pPr>
              <w:ind w:left="284" w:right="113"/>
            </w:pPr>
            <w:r w:rsidRPr="009E77EC">
              <w:t>=</w:t>
            </w:r>
            <w:r w:rsidRPr="009E77EC">
              <w:t>第</w:t>
            </w:r>
            <w:r w:rsidRPr="009E77EC">
              <w:t>X</w:t>
            </w:r>
            <w:r w:rsidRPr="009E77EC">
              <w:t>年設備使用費</w:t>
            </w:r>
          </w:p>
          <w:p w:rsidR="00F76E22" w:rsidRPr="009E77EC" w:rsidRDefault="00F76E22">
            <w:pPr>
              <w:spacing w:before="180"/>
              <w:ind w:left="113" w:right="113"/>
            </w:pPr>
            <w:r w:rsidRPr="009E77EC">
              <w:t>C</w:t>
            </w:r>
            <w:r w:rsidRPr="009E77EC">
              <w:t>：購置成本</w:t>
            </w:r>
          </w:p>
          <w:p w:rsidR="00F76E22" w:rsidRPr="009E77EC" w:rsidRDefault="00F76E22">
            <w:pPr>
              <w:spacing w:before="180"/>
              <w:ind w:left="113" w:right="113"/>
            </w:pPr>
            <w:r w:rsidRPr="009E77EC">
              <w:t>X</w:t>
            </w:r>
            <w:r w:rsidRPr="009E77EC">
              <w:t>：第</w:t>
            </w:r>
            <w:r w:rsidRPr="009E77EC">
              <w:t>X</w:t>
            </w:r>
            <w:r w:rsidRPr="009E77EC">
              <w:t>年</w:t>
            </w:r>
          </w:p>
          <w:p w:rsidR="00F76E22" w:rsidRPr="009E77EC" w:rsidRDefault="00F76E22">
            <w:pPr>
              <w:spacing w:before="180"/>
              <w:ind w:left="691" w:right="113" w:hanging="578"/>
            </w:pPr>
            <w:r w:rsidRPr="009E77EC">
              <w:t>N</w:t>
            </w:r>
            <w:r w:rsidRPr="009E77EC">
              <w:t>：折舊年數（以</w:t>
            </w:r>
            <w:r w:rsidR="00434DC8" w:rsidRPr="009E77EC">
              <w:t>5</w:t>
            </w:r>
            <w:r w:rsidRPr="009E77EC">
              <w:t>年計算）</w:t>
            </w:r>
          </w:p>
          <w:p w:rsidR="00F76E22" w:rsidRPr="009E77EC" w:rsidRDefault="00F76E22">
            <w:pPr>
              <w:spacing w:before="180"/>
              <w:ind w:left="691" w:right="113" w:hanging="578"/>
            </w:pPr>
            <w:r w:rsidRPr="009E77EC">
              <w:t>R</w:t>
            </w:r>
            <w:r w:rsidRPr="009E77EC">
              <w:t>：銀行放款利率</w:t>
            </w:r>
            <w:r w:rsidRPr="009E77EC">
              <w:t>(</w:t>
            </w:r>
            <w:r w:rsidRPr="009E77EC">
              <w:t>每年</w:t>
            </w:r>
            <w:r w:rsidR="00434DC8" w:rsidRPr="009E77EC">
              <w:t>1</w:t>
            </w:r>
            <w:r w:rsidRPr="009E77EC">
              <w:t>月</w:t>
            </w:r>
            <w:r w:rsidR="00434DC8" w:rsidRPr="009E77EC">
              <w:t>1</w:t>
            </w:r>
            <w:r w:rsidRPr="009E77EC">
              <w:t>日臺灣銀行基本放款利率</w:t>
            </w:r>
            <w:r w:rsidRPr="009E77EC">
              <w:t>)</w:t>
            </w:r>
          </w:p>
          <w:p w:rsidR="00F76E22" w:rsidRPr="009E77EC" w:rsidRDefault="00F76E22">
            <w:pPr>
              <w:spacing w:before="180"/>
              <w:ind w:left="691" w:right="113" w:hanging="578"/>
            </w:pPr>
            <w:r w:rsidRPr="009E77EC">
              <w:t>UR</w:t>
            </w:r>
            <w:r w:rsidRPr="009E77EC">
              <w:t>：設備投入計畫使用比例。</w:t>
            </w:r>
          </w:p>
          <w:p w:rsidR="00FC5B3B" w:rsidRPr="009E77EC" w:rsidRDefault="00FC5B3B">
            <w:pPr>
              <w:kinsoku w:val="0"/>
              <w:overflowPunct w:val="0"/>
              <w:spacing w:line="200" w:lineRule="atLeast"/>
              <w:ind w:left="139" w:hanging="139"/>
              <w:jc w:val="both"/>
            </w:pPr>
          </w:p>
          <w:p w:rsidR="00F76E22" w:rsidRPr="009E77EC" w:rsidRDefault="00FC5B3B">
            <w:pPr>
              <w:kinsoku w:val="0"/>
              <w:overflowPunct w:val="0"/>
              <w:spacing w:line="200" w:lineRule="atLeast"/>
              <w:ind w:left="139" w:hanging="139"/>
              <w:jc w:val="both"/>
              <w:rPr>
                <w:strike/>
              </w:rPr>
            </w:pPr>
            <w:r w:rsidRPr="009E77EC">
              <w:t>2.</w:t>
            </w:r>
            <w:r w:rsidRPr="009E77EC">
              <w:t>軟體未列入資產者不得編列設備使用費。</w:t>
            </w:r>
          </w:p>
        </w:tc>
      </w:tr>
    </w:tbl>
    <w:p w:rsidR="00F76E22" w:rsidRPr="009E77EC" w:rsidRDefault="00F76E22">
      <w:pPr>
        <w:pStyle w:val="a3"/>
        <w:tabs>
          <w:tab w:val="left" w:pos="4440"/>
        </w:tabs>
        <w:kinsoku w:val="0"/>
        <w:overflowPunct w:val="0"/>
        <w:snapToGrid w:val="0"/>
        <w:spacing w:line="240" w:lineRule="atLeast"/>
        <w:jc w:val="left"/>
        <w:rPr>
          <w:rFonts w:eastAsia="標楷體"/>
          <w:b/>
          <w:sz w:val="24"/>
        </w:rPr>
      </w:pPr>
      <w:r w:rsidRPr="009E77EC">
        <w:rPr>
          <w:rFonts w:eastAsia="標楷體"/>
          <w:sz w:val="24"/>
        </w:rPr>
        <w:br w:type="page"/>
      </w:r>
      <w:r w:rsidRPr="009E77EC">
        <w:rPr>
          <w:rFonts w:eastAsia="標楷體"/>
          <w:b/>
          <w:sz w:val="24"/>
        </w:rPr>
        <w:lastRenderedPageBreak/>
        <w:t>參、各級研究員定義</w:t>
      </w:r>
    </w:p>
    <w:p w:rsidR="002C5F81" w:rsidRPr="009E77EC" w:rsidRDefault="00F76E22" w:rsidP="002C5F81">
      <w:pPr>
        <w:pStyle w:val="a9"/>
        <w:numPr>
          <w:ilvl w:val="0"/>
          <w:numId w:val="6"/>
        </w:numPr>
        <w:ind w:leftChars="0" w:left="567" w:hanging="567"/>
        <w:jc w:val="both"/>
      </w:pPr>
      <w:r w:rsidRPr="009E77EC">
        <w:t>研究員級：指具有國內</w:t>
      </w:r>
      <w:r w:rsidRPr="009E77EC">
        <w:t>(</w:t>
      </w:r>
      <w:r w:rsidRPr="009E77EC">
        <w:t>外</w:t>
      </w:r>
      <w:r w:rsidRPr="009E77EC">
        <w:t>)</w:t>
      </w:r>
      <w:r w:rsidRPr="009E77EC">
        <w:t>大專教授、專業研究機構研究員、政府機關簡任技正、經政府認定之工程師等身份，或具備下列資格之一者屬之：</w:t>
      </w:r>
    </w:p>
    <w:p w:rsidR="002C5F81" w:rsidRPr="009E77EC" w:rsidRDefault="002C5F81" w:rsidP="002C5F81">
      <w:pPr>
        <w:pStyle w:val="a9"/>
        <w:numPr>
          <w:ilvl w:val="0"/>
          <w:numId w:val="7"/>
        </w:numPr>
        <w:ind w:leftChars="0" w:left="709" w:hanging="298"/>
        <w:jc w:val="both"/>
      </w:pPr>
      <w:r w:rsidRPr="009E77EC">
        <w:t>曾任國內、外大專副教授或相當職務三年以上者。</w:t>
      </w:r>
    </w:p>
    <w:p w:rsidR="002C5F81" w:rsidRPr="009E77EC" w:rsidRDefault="002C5F81" w:rsidP="002C5F81">
      <w:pPr>
        <w:pStyle w:val="a9"/>
        <w:numPr>
          <w:ilvl w:val="0"/>
          <w:numId w:val="7"/>
        </w:numPr>
        <w:ind w:leftChars="0" w:left="709" w:hanging="298"/>
        <w:jc w:val="both"/>
      </w:pPr>
      <w:r w:rsidRPr="009E77EC">
        <w:t>國內、外大學或研究院</w:t>
      </w:r>
      <w:r w:rsidRPr="009E77EC">
        <w:t>(</w:t>
      </w:r>
      <w:r w:rsidRPr="009E77EC">
        <w:t>所</w:t>
      </w:r>
      <w:r w:rsidRPr="009E77EC">
        <w:t>)</w:t>
      </w:r>
      <w:r w:rsidRPr="009E77EC">
        <w:t>得有博士學位，曾從事學術研究工作或專業工作三年以上者。</w:t>
      </w:r>
    </w:p>
    <w:p w:rsidR="002C5F81" w:rsidRPr="009E77EC" w:rsidRDefault="002C5F81" w:rsidP="002C5F81">
      <w:pPr>
        <w:pStyle w:val="a9"/>
        <w:numPr>
          <w:ilvl w:val="0"/>
          <w:numId w:val="7"/>
        </w:numPr>
        <w:ind w:leftChars="0" w:left="709" w:hanging="298"/>
        <w:jc w:val="both"/>
      </w:pPr>
      <w:r w:rsidRPr="009E77EC">
        <w:t>國內、外大學或研究院</w:t>
      </w:r>
      <w:r w:rsidRPr="009E77EC">
        <w:t>(</w:t>
      </w:r>
      <w:r w:rsidRPr="009E77EC">
        <w:t>所</w:t>
      </w:r>
      <w:r w:rsidRPr="009E77EC">
        <w:t>)</w:t>
      </w:r>
      <w:r w:rsidRPr="009E77EC">
        <w:t>得有碩士學位，曾從事學術研究工作或專業工作六年以上者。</w:t>
      </w:r>
    </w:p>
    <w:p w:rsidR="002C5F81" w:rsidRPr="009E77EC" w:rsidRDefault="002C5F81" w:rsidP="002C5F81">
      <w:pPr>
        <w:pStyle w:val="a9"/>
        <w:numPr>
          <w:ilvl w:val="0"/>
          <w:numId w:val="7"/>
        </w:numPr>
        <w:ind w:leftChars="0" w:left="709" w:hanging="298"/>
        <w:jc w:val="both"/>
      </w:pPr>
      <w:r w:rsidRPr="009E77EC">
        <w:t>國內、外大學畢業，曾從事學術研究工作或專業工作九年以上者。</w:t>
      </w:r>
    </w:p>
    <w:p w:rsidR="002C5F81" w:rsidRPr="009E77EC" w:rsidRDefault="002C5F81" w:rsidP="002C5F81">
      <w:pPr>
        <w:pStyle w:val="a9"/>
        <w:numPr>
          <w:ilvl w:val="0"/>
          <w:numId w:val="7"/>
        </w:numPr>
        <w:ind w:leftChars="0" w:left="709" w:hanging="298"/>
        <w:jc w:val="both"/>
      </w:pPr>
      <w:r w:rsidRPr="009E77EC">
        <w:t>國內、外專科畢業，曾從事學術研究工作或專業工作十二年以上者。</w:t>
      </w:r>
    </w:p>
    <w:p w:rsidR="002C5F81" w:rsidRPr="009E77EC" w:rsidRDefault="002C5F81" w:rsidP="002C5F81">
      <w:pPr>
        <w:jc w:val="both"/>
      </w:pPr>
    </w:p>
    <w:p w:rsidR="002C5F81" w:rsidRPr="009E77EC" w:rsidRDefault="00F76E22" w:rsidP="002C5F81">
      <w:pPr>
        <w:pStyle w:val="a9"/>
        <w:numPr>
          <w:ilvl w:val="0"/>
          <w:numId w:val="6"/>
        </w:numPr>
        <w:ind w:leftChars="0" w:left="567" w:hanging="567"/>
        <w:jc w:val="both"/>
      </w:pPr>
      <w:r w:rsidRPr="009E77EC">
        <w:t>副研究員級：指具有國內</w:t>
      </w:r>
      <w:r w:rsidRPr="009E77EC">
        <w:t>(</w:t>
      </w:r>
      <w:r w:rsidRPr="009E77EC">
        <w:t>外</w:t>
      </w:r>
      <w:r w:rsidRPr="009E77EC">
        <w:t>)</w:t>
      </w:r>
      <w:r w:rsidRPr="009E77EC">
        <w:t>大專副教授、專業研究機構副研究員、政府機關薦任技正、政府認定之副工程師等以上身份，或具備下列資格之一者屬之：</w:t>
      </w:r>
    </w:p>
    <w:p w:rsidR="002C5F81" w:rsidRPr="009E77EC" w:rsidRDefault="002C5F81" w:rsidP="002C5F81">
      <w:pPr>
        <w:pStyle w:val="a9"/>
        <w:numPr>
          <w:ilvl w:val="0"/>
          <w:numId w:val="9"/>
        </w:numPr>
        <w:ind w:leftChars="0" w:left="709" w:hanging="283"/>
        <w:jc w:val="both"/>
      </w:pPr>
      <w:r w:rsidRPr="009E77EC">
        <w:t>曾任國內、外大專講師或研究機構相當職務三年以上者。</w:t>
      </w:r>
    </w:p>
    <w:p w:rsidR="002C5F81" w:rsidRPr="009E77EC" w:rsidRDefault="002C5F81" w:rsidP="002C5F81">
      <w:pPr>
        <w:pStyle w:val="a9"/>
        <w:numPr>
          <w:ilvl w:val="0"/>
          <w:numId w:val="9"/>
        </w:numPr>
        <w:ind w:leftChars="0" w:left="709" w:hanging="283"/>
        <w:jc w:val="both"/>
      </w:pPr>
      <w:r w:rsidRPr="009E77EC">
        <w:t>國內、外大學或研究院</w:t>
      </w:r>
      <w:r w:rsidRPr="009E77EC">
        <w:t>(</w:t>
      </w:r>
      <w:r w:rsidRPr="009E77EC">
        <w:t>所</w:t>
      </w:r>
      <w:r w:rsidRPr="009E77EC">
        <w:t>)</w:t>
      </w:r>
      <w:r w:rsidRPr="009E77EC">
        <w:t>得有博士學位者。</w:t>
      </w:r>
    </w:p>
    <w:p w:rsidR="002C5F81" w:rsidRPr="009E77EC" w:rsidRDefault="002C5F81" w:rsidP="002C5F81">
      <w:pPr>
        <w:pStyle w:val="a9"/>
        <w:numPr>
          <w:ilvl w:val="0"/>
          <w:numId w:val="9"/>
        </w:numPr>
        <w:ind w:leftChars="0" w:left="709" w:hanging="283"/>
        <w:jc w:val="both"/>
      </w:pPr>
      <w:r w:rsidRPr="009E77EC">
        <w:t>國內、外大學或研究院</w:t>
      </w:r>
      <w:r w:rsidRPr="009E77EC">
        <w:t>(</w:t>
      </w:r>
      <w:r w:rsidRPr="009E77EC">
        <w:t>所</w:t>
      </w:r>
      <w:r w:rsidRPr="009E77EC">
        <w:t>)</w:t>
      </w:r>
      <w:r w:rsidRPr="009E77EC">
        <w:t>得有碩士學位，曾從事學術研究工作或專業工作三年以上者。</w:t>
      </w:r>
    </w:p>
    <w:p w:rsidR="002C5F81" w:rsidRPr="009E77EC" w:rsidRDefault="002C5F81" w:rsidP="002C5F81">
      <w:pPr>
        <w:pStyle w:val="a9"/>
        <w:numPr>
          <w:ilvl w:val="0"/>
          <w:numId w:val="9"/>
        </w:numPr>
        <w:ind w:leftChars="0" w:left="709" w:hanging="283"/>
        <w:jc w:val="both"/>
      </w:pPr>
      <w:r w:rsidRPr="009E77EC">
        <w:t>國內、外大學畢業，曾從事學術研究工作或專業工作六年以上者。</w:t>
      </w:r>
    </w:p>
    <w:p w:rsidR="002C5F81" w:rsidRPr="009E77EC" w:rsidRDefault="002C5F81" w:rsidP="002C5F81">
      <w:pPr>
        <w:pStyle w:val="a9"/>
        <w:numPr>
          <w:ilvl w:val="0"/>
          <w:numId w:val="9"/>
        </w:numPr>
        <w:ind w:leftChars="0" w:left="709" w:hanging="283"/>
        <w:jc w:val="both"/>
      </w:pPr>
      <w:r w:rsidRPr="009E77EC">
        <w:t>國內、外專科畢業，曾從事學術研究工作或專業工作九年以上者。</w:t>
      </w:r>
    </w:p>
    <w:p w:rsidR="002C5F81" w:rsidRPr="009E77EC" w:rsidRDefault="002C5F81" w:rsidP="002C5F81">
      <w:pPr>
        <w:jc w:val="both"/>
      </w:pPr>
    </w:p>
    <w:p w:rsidR="002C5F81" w:rsidRPr="009E77EC" w:rsidRDefault="00F76E22" w:rsidP="002C5F81">
      <w:pPr>
        <w:pStyle w:val="a9"/>
        <w:numPr>
          <w:ilvl w:val="0"/>
          <w:numId w:val="6"/>
        </w:numPr>
        <w:ind w:leftChars="0" w:left="567" w:hanging="567"/>
        <w:jc w:val="both"/>
      </w:pPr>
      <w:r w:rsidRPr="009E77EC">
        <w:t>助理研究員級：指具有國內</w:t>
      </w:r>
      <w:r w:rsidRPr="009E77EC">
        <w:t>(</w:t>
      </w:r>
      <w:r w:rsidRPr="009E77EC">
        <w:t>外</w:t>
      </w:r>
      <w:r w:rsidRPr="009E77EC">
        <w:t>)</w:t>
      </w:r>
      <w:r w:rsidRPr="009E77EC">
        <w:t>大專講師、專業研究機構助理研究員、政府機關委任技士、政府認定之助理工程師等以上身份，或具備下列資格之一者屬之：</w:t>
      </w:r>
    </w:p>
    <w:p w:rsidR="002C5F81" w:rsidRPr="009E77EC" w:rsidRDefault="002C5F81" w:rsidP="002C5F81">
      <w:pPr>
        <w:pStyle w:val="a9"/>
        <w:numPr>
          <w:ilvl w:val="0"/>
          <w:numId w:val="10"/>
        </w:numPr>
        <w:ind w:leftChars="0" w:left="709" w:hanging="283"/>
        <w:jc w:val="both"/>
      </w:pPr>
      <w:r w:rsidRPr="009E77EC">
        <w:t>國內、外大學或研究院</w:t>
      </w:r>
      <w:r w:rsidRPr="009E77EC">
        <w:t>(</w:t>
      </w:r>
      <w:r w:rsidRPr="009E77EC">
        <w:t>所</w:t>
      </w:r>
      <w:r w:rsidRPr="009E77EC">
        <w:t>)</w:t>
      </w:r>
      <w:r w:rsidRPr="009E77EC">
        <w:t>有碩士學位者。</w:t>
      </w:r>
    </w:p>
    <w:p w:rsidR="002C5F81" w:rsidRPr="009E77EC" w:rsidRDefault="002C5F81" w:rsidP="002C5F81">
      <w:pPr>
        <w:pStyle w:val="a9"/>
        <w:numPr>
          <w:ilvl w:val="0"/>
          <w:numId w:val="10"/>
        </w:numPr>
        <w:ind w:leftChars="0" w:left="709" w:hanging="283"/>
        <w:jc w:val="both"/>
      </w:pPr>
      <w:r w:rsidRPr="009E77EC">
        <w:t>國內、外大學或獨立學院畢業者，曾從事學術研究工作或專業工作三年以上者。</w:t>
      </w:r>
    </w:p>
    <w:p w:rsidR="002C5F81" w:rsidRPr="009E77EC" w:rsidRDefault="002C5F81" w:rsidP="002C5F81">
      <w:pPr>
        <w:pStyle w:val="a9"/>
        <w:numPr>
          <w:ilvl w:val="0"/>
          <w:numId w:val="10"/>
        </w:numPr>
        <w:ind w:leftChars="0" w:left="709" w:hanging="283"/>
        <w:jc w:val="both"/>
      </w:pPr>
      <w:r w:rsidRPr="009E77EC">
        <w:t>國內、外專科畢業，曾從事學術研究工作或專業工作六年以上者。</w:t>
      </w:r>
    </w:p>
    <w:p w:rsidR="002C5F81" w:rsidRPr="009E77EC" w:rsidRDefault="002C5F81" w:rsidP="002C5F81">
      <w:pPr>
        <w:jc w:val="both"/>
      </w:pPr>
    </w:p>
    <w:p w:rsidR="00F76E22" w:rsidRPr="009E77EC" w:rsidRDefault="00F76E22" w:rsidP="002C5F81">
      <w:pPr>
        <w:pStyle w:val="a9"/>
        <w:numPr>
          <w:ilvl w:val="0"/>
          <w:numId w:val="6"/>
        </w:numPr>
        <w:ind w:leftChars="0" w:left="567" w:hanging="567"/>
        <w:jc w:val="both"/>
      </w:pPr>
      <w:r w:rsidRPr="009E77EC">
        <w:t>研究助理級：指具有國內</w:t>
      </w:r>
      <w:r w:rsidRPr="009E77EC">
        <w:t>(</w:t>
      </w:r>
      <w:r w:rsidRPr="009E77EC">
        <w:t>外</w:t>
      </w:r>
      <w:r w:rsidRPr="009E77EC">
        <w:t>)</w:t>
      </w:r>
      <w:r w:rsidRPr="009E77EC">
        <w:t>大專助教、專業研究機構研究助理等身份，或具備下列資格之一者屬之：</w:t>
      </w:r>
    </w:p>
    <w:p w:rsidR="002C5F81" w:rsidRPr="009E77EC" w:rsidRDefault="00F76E22" w:rsidP="002C5F81">
      <w:pPr>
        <w:pStyle w:val="a9"/>
        <w:numPr>
          <w:ilvl w:val="0"/>
          <w:numId w:val="11"/>
        </w:numPr>
        <w:ind w:leftChars="0" w:left="709" w:hanging="283"/>
        <w:jc w:val="both"/>
      </w:pPr>
      <w:r w:rsidRPr="009E77EC">
        <w:t>國內、外大學或獨立學院畢業，得有學士學位。</w:t>
      </w:r>
    </w:p>
    <w:p w:rsidR="002C5F81" w:rsidRPr="009E77EC" w:rsidRDefault="00F76E22" w:rsidP="002C5F81">
      <w:pPr>
        <w:pStyle w:val="a9"/>
        <w:numPr>
          <w:ilvl w:val="0"/>
          <w:numId w:val="11"/>
        </w:numPr>
        <w:ind w:leftChars="0" w:left="709" w:hanging="283"/>
        <w:jc w:val="both"/>
      </w:pPr>
      <w:r w:rsidRPr="009E77EC">
        <w:t>國內、外專科畢業，且從事協助研究工作或專業工作達三年以上者。</w:t>
      </w:r>
    </w:p>
    <w:p w:rsidR="00F76E22" w:rsidRPr="009E77EC" w:rsidRDefault="00F76E22" w:rsidP="002C5F81">
      <w:pPr>
        <w:pStyle w:val="a9"/>
        <w:numPr>
          <w:ilvl w:val="0"/>
          <w:numId w:val="11"/>
        </w:numPr>
        <w:ind w:leftChars="0" w:left="709" w:hanging="283"/>
        <w:jc w:val="both"/>
      </w:pPr>
      <w:r w:rsidRPr="009E77EC">
        <w:t>國內、外高中</w:t>
      </w:r>
      <w:r w:rsidRPr="009E77EC">
        <w:t>(</w:t>
      </w:r>
      <w:r w:rsidRPr="009E77EC">
        <w:t>職</w:t>
      </w:r>
      <w:r w:rsidRPr="009E77EC">
        <w:t>)</w:t>
      </w:r>
      <w:r w:rsidRPr="009E77EC">
        <w:t>畢業，且從事協助研究工作達六年以上者。</w:t>
      </w:r>
    </w:p>
    <w:p w:rsidR="00F76E22" w:rsidRPr="009E77EC" w:rsidRDefault="00F76E22" w:rsidP="002C5F81">
      <w:pPr>
        <w:pStyle w:val="a4"/>
      </w:pPr>
      <w:r w:rsidRPr="009E77EC">
        <w:br w:type="page"/>
      </w:r>
      <w:r w:rsidRPr="009E77EC">
        <w:rPr>
          <w:rFonts w:eastAsia="標楷體"/>
          <w:b/>
          <w:sz w:val="24"/>
        </w:rPr>
        <w:lastRenderedPageBreak/>
        <w:t>肆、聘請國外專家酬勞費標準表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410"/>
        <w:gridCol w:w="2383"/>
        <w:gridCol w:w="2397"/>
      </w:tblGrid>
      <w:tr w:rsidR="009E77EC" w:rsidRPr="009E77EC" w:rsidTr="002C5F81">
        <w:trPr>
          <w:cantSplit/>
        </w:trPr>
        <w:tc>
          <w:tcPr>
            <w:tcW w:w="1838" w:type="dxa"/>
            <w:vMerge w:val="restart"/>
          </w:tcPr>
          <w:p w:rsidR="00F76E22" w:rsidRPr="009E77EC" w:rsidRDefault="00F76E22"/>
        </w:tc>
        <w:tc>
          <w:tcPr>
            <w:tcW w:w="7190" w:type="dxa"/>
            <w:gridSpan w:val="3"/>
          </w:tcPr>
          <w:p w:rsidR="00F76E22" w:rsidRPr="009E77EC" w:rsidRDefault="00F76E22">
            <w:pPr>
              <w:jc w:val="center"/>
            </w:pPr>
            <w:r w:rsidRPr="009E77EC">
              <w:t>酬勞費</w:t>
            </w:r>
          </w:p>
        </w:tc>
      </w:tr>
      <w:tr w:rsidR="009E77EC" w:rsidRPr="009E77EC" w:rsidTr="002C5F81">
        <w:trPr>
          <w:cantSplit/>
        </w:trPr>
        <w:tc>
          <w:tcPr>
            <w:tcW w:w="1838" w:type="dxa"/>
            <w:vMerge/>
          </w:tcPr>
          <w:p w:rsidR="00F76E22" w:rsidRPr="009E77EC" w:rsidRDefault="00F76E22"/>
        </w:tc>
        <w:tc>
          <w:tcPr>
            <w:tcW w:w="2410" w:type="dxa"/>
          </w:tcPr>
          <w:p w:rsidR="00F76E22" w:rsidRPr="009E77EC" w:rsidRDefault="00F76E22">
            <w:pPr>
              <w:jc w:val="center"/>
            </w:pPr>
            <w:r w:rsidRPr="009E77EC">
              <w:t>按日計酬</w:t>
            </w:r>
          </w:p>
        </w:tc>
        <w:tc>
          <w:tcPr>
            <w:tcW w:w="4780" w:type="dxa"/>
            <w:gridSpan w:val="2"/>
          </w:tcPr>
          <w:p w:rsidR="00F76E22" w:rsidRPr="009E77EC" w:rsidRDefault="00F76E22">
            <w:pPr>
              <w:jc w:val="center"/>
            </w:pPr>
            <w:r w:rsidRPr="009E77EC">
              <w:t>按月計酬</w:t>
            </w:r>
          </w:p>
        </w:tc>
      </w:tr>
      <w:tr w:rsidR="009E77EC" w:rsidRPr="009E77EC" w:rsidTr="002C5F81">
        <w:trPr>
          <w:cantSplit/>
        </w:trPr>
        <w:tc>
          <w:tcPr>
            <w:tcW w:w="1838" w:type="dxa"/>
            <w:vMerge/>
          </w:tcPr>
          <w:p w:rsidR="00F76E22" w:rsidRPr="009E77EC" w:rsidRDefault="00F76E22"/>
        </w:tc>
        <w:tc>
          <w:tcPr>
            <w:tcW w:w="2410" w:type="dxa"/>
            <w:vAlign w:val="center"/>
          </w:tcPr>
          <w:p w:rsidR="00F76E22" w:rsidRPr="009E77EC" w:rsidRDefault="00F76E22" w:rsidP="002C5F81">
            <w:pPr>
              <w:jc w:val="center"/>
            </w:pPr>
            <w:r w:rsidRPr="009E77EC">
              <w:t>來台工作三個月內者</w:t>
            </w:r>
          </w:p>
        </w:tc>
        <w:tc>
          <w:tcPr>
            <w:tcW w:w="2383" w:type="dxa"/>
            <w:vAlign w:val="center"/>
          </w:tcPr>
          <w:p w:rsidR="00F76E22" w:rsidRPr="009E77EC" w:rsidRDefault="00F76E22" w:rsidP="002C5F81">
            <w:pPr>
              <w:jc w:val="center"/>
            </w:pPr>
            <w:r w:rsidRPr="009E77EC">
              <w:t>來台工作三個月以上，不滿一年者</w:t>
            </w:r>
          </w:p>
        </w:tc>
        <w:tc>
          <w:tcPr>
            <w:tcW w:w="2397" w:type="dxa"/>
            <w:vAlign w:val="center"/>
          </w:tcPr>
          <w:p w:rsidR="00F76E22" w:rsidRPr="009E77EC" w:rsidRDefault="00F76E22" w:rsidP="002C5F81">
            <w:pPr>
              <w:jc w:val="center"/>
            </w:pPr>
            <w:r w:rsidRPr="009E77EC">
              <w:t>來台工作一年以上者</w:t>
            </w:r>
          </w:p>
        </w:tc>
      </w:tr>
      <w:tr w:rsidR="009E77EC" w:rsidRPr="009E77EC" w:rsidTr="002C5F81">
        <w:tc>
          <w:tcPr>
            <w:tcW w:w="1838" w:type="dxa"/>
            <w:vAlign w:val="center"/>
          </w:tcPr>
          <w:p w:rsidR="001A6EDC" w:rsidRPr="009E77EC" w:rsidRDefault="001A6EDC" w:rsidP="002C5F81">
            <w:pPr>
              <w:jc w:val="center"/>
            </w:pPr>
            <w:r w:rsidRPr="009E77EC">
              <w:t>一、諾貝爾級</w:t>
            </w:r>
          </w:p>
        </w:tc>
        <w:tc>
          <w:tcPr>
            <w:tcW w:w="2410" w:type="dxa"/>
            <w:vAlign w:val="center"/>
          </w:tcPr>
          <w:p w:rsidR="001A6EDC" w:rsidRPr="009E77EC" w:rsidRDefault="001A6EDC" w:rsidP="002C5F81">
            <w:pPr>
              <w:spacing w:line="340" w:lineRule="exact"/>
              <w:jc w:val="center"/>
            </w:pPr>
            <w:r w:rsidRPr="009E77EC">
              <w:t>每人每日</w:t>
            </w:r>
            <w:r w:rsidR="002C5F81" w:rsidRPr="009E77EC">
              <w:t>新臺幣</w:t>
            </w:r>
          </w:p>
          <w:p w:rsidR="001A6EDC" w:rsidRPr="009E77EC" w:rsidRDefault="001A6EDC" w:rsidP="002C5F81">
            <w:pPr>
              <w:spacing w:line="340" w:lineRule="exact"/>
              <w:jc w:val="center"/>
            </w:pPr>
            <w:r w:rsidRPr="009E77EC">
              <w:t>14,260</w:t>
            </w:r>
            <w:r w:rsidRPr="009E77EC">
              <w:t>元</w:t>
            </w:r>
          </w:p>
        </w:tc>
        <w:tc>
          <w:tcPr>
            <w:tcW w:w="2383" w:type="dxa"/>
            <w:vAlign w:val="center"/>
          </w:tcPr>
          <w:p w:rsidR="001A6EDC" w:rsidRPr="009E77EC" w:rsidRDefault="001A6EDC" w:rsidP="002C5F81">
            <w:pPr>
              <w:pStyle w:val="a3"/>
              <w:adjustRightInd/>
              <w:spacing w:line="340" w:lineRule="exact"/>
              <w:textAlignment w:val="auto"/>
              <w:rPr>
                <w:rFonts w:eastAsia="標楷體"/>
                <w:spacing w:val="0"/>
                <w:kern w:val="2"/>
                <w:sz w:val="24"/>
              </w:rPr>
            </w:pPr>
            <w:r w:rsidRPr="009E77EC">
              <w:rPr>
                <w:rFonts w:eastAsia="標楷體"/>
                <w:spacing w:val="0"/>
                <w:kern w:val="2"/>
                <w:sz w:val="24"/>
              </w:rPr>
              <w:t>每人每月</w:t>
            </w:r>
            <w:r w:rsidR="002C5F81" w:rsidRPr="009E77EC">
              <w:rPr>
                <w:rFonts w:eastAsia="標楷體"/>
                <w:spacing w:val="0"/>
                <w:kern w:val="2"/>
                <w:sz w:val="24"/>
              </w:rPr>
              <w:t>新臺幣</w:t>
            </w:r>
          </w:p>
          <w:p w:rsidR="001A6EDC" w:rsidRPr="009E77EC" w:rsidRDefault="001A6EDC" w:rsidP="002C5F81">
            <w:pPr>
              <w:spacing w:line="340" w:lineRule="exact"/>
              <w:jc w:val="center"/>
            </w:pPr>
            <w:r w:rsidRPr="009E77EC">
              <w:t>304,395</w:t>
            </w:r>
            <w:r w:rsidRPr="009E77EC">
              <w:t>元</w:t>
            </w:r>
          </w:p>
        </w:tc>
        <w:tc>
          <w:tcPr>
            <w:tcW w:w="2397" w:type="dxa"/>
            <w:vAlign w:val="center"/>
          </w:tcPr>
          <w:p w:rsidR="001A6EDC" w:rsidRPr="009E77EC" w:rsidRDefault="001A6EDC" w:rsidP="002C5F81">
            <w:pPr>
              <w:spacing w:line="340" w:lineRule="exact"/>
              <w:jc w:val="center"/>
            </w:pPr>
            <w:r w:rsidRPr="009E77EC">
              <w:t>每人每月</w:t>
            </w:r>
            <w:r w:rsidR="002C5F81" w:rsidRPr="009E77EC">
              <w:t>新臺幣</w:t>
            </w:r>
          </w:p>
          <w:p w:rsidR="001A6EDC" w:rsidRPr="009E77EC" w:rsidRDefault="001A6EDC" w:rsidP="002C5F81">
            <w:pPr>
              <w:spacing w:line="340" w:lineRule="exact"/>
              <w:jc w:val="center"/>
            </w:pPr>
            <w:r w:rsidRPr="009E77EC">
              <w:t>275,405</w:t>
            </w:r>
            <w:r w:rsidRPr="009E77EC">
              <w:t>元</w:t>
            </w:r>
          </w:p>
        </w:tc>
      </w:tr>
      <w:tr w:rsidR="009E77EC" w:rsidRPr="009E77EC" w:rsidTr="002C5F81">
        <w:tc>
          <w:tcPr>
            <w:tcW w:w="1838" w:type="dxa"/>
            <w:vAlign w:val="center"/>
          </w:tcPr>
          <w:p w:rsidR="001A6EDC" w:rsidRPr="009E77EC" w:rsidRDefault="001A6EDC" w:rsidP="002C5F81">
            <w:pPr>
              <w:jc w:val="center"/>
            </w:pPr>
            <w:r w:rsidRPr="009E77EC">
              <w:t>二、特聘講座</w:t>
            </w:r>
          </w:p>
        </w:tc>
        <w:tc>
          <w:tcPr>
            <w:tcW w:w="2410" w:type="dxa"/>
            <w:vAlign w:val="center"/>
          </w:tcPr>
          <w:p w:rsidR="001A6EDC" w:rsidRPr="009E77EC" w:rsidRDefault="001A6EDC" w:rsidP="002C5F81">
            <w:pPr>
              <w:spacing w:line="340" w:lineRule="exact"/>
              <w:jc w:val="center"/>
            </w:pPr>
            <w:r w:rsidRPr="009E77EC">
              <w:t>每人每日</w:t>
            </w:r>
            <w:r w:rsidR="002C5F81" w:rsidRPr="009E77EC">
              <w:t>新臺幣</w:t>
            </w:r>
          </w:p>
          <w:p w:rsidR="001A6EDC" w:rsidRPr="009E77EC" w:rsidRDefault="001A6EDC" w:rsidP="002C5F81">
            <w:pPr>
              <w:spacing w:line="340" w:lineRule="exact"/>
              <w:jc w:val="center"/>
            </w:pPr>
            <w:r w:rsidRPr="009E77EC">
              <w:t>10,695</w:t>
            </w:r>
            <w:r w:rsidRPr="009E77EC">
              <w:t>元</w:t>
            </w:r>
          </w:p>
        </w:tc>
        <w:tc>
          <w:tcPr>
            <w:tcW w:w="2383" w:type="dxa"/>
            <w:vAlign w:val="center"/>
          </w:tcPr>
          <w:p w:rsidR="001A6EDC" w:rsidRPr="009E77EC" w:rsidRDefault="001A6EDC" w:rsidP="002C5F81">
            <w:pPr>
              <w:spacing w:line="340" w:lineRule="exact"/>
              <w:jc w:val="center"/>
            </w:pPr>
            <w:r w:rsidRPr="009E77EC">
              <w:t>每人每月</w:t>
            </w:r>
            <w:r w:rsidR="002C5F81" w:rsidRPr="009E77EC">
              <w:t>新臺幣</w:t>
            </w:r>
          </w:p>
          <w:p w:rsidR="001A6EDC" w:rsidRPr="009E77EC" w:rsidRDefault="001A6EDC" w:rsidP="002C5F81">
            <w:pPr>
              <w:spacing w:line="340" w:lineRule="exact"/>
              <w:jc w:val="center"/>
            </w:pPr>
            <w:r w:rsidRPr="009E77EC">
              <w:t>231,920</w:t>
            </w:r>
            <w:r w:rsidRPr="009E77EC">
              <w:t>元</w:t>
            </w:r>
          </w:p>
        </w:tc>
        <w:tc>
          <w:tcPr>
            <w:tcW w:w="2397" w:type="dxa"/>
            <w:vAlign w:val="center"/>
          </w:tcPr>
          <w:p w:rsidR="001A6EDC" w:rsidRPr="009E77EC" w:rsidRDefault="001A6EDC" w:rsidP="002C5F81">
            <w:pPr>
              <w:spacing w:line="340" w:lineRule="exact"/>
              <w:jc w:val="center"/>
            </w:pPr>
            <w:r w:rsidRPr="009E77EC">
              <w:t>每人每月</w:t>
            </w:r>
            <w:r w:rsidR="002C5F81" w:rsidRPr="009E77EC">
              <w:t>新臺幣</w:t>
            </w:r>
          </w:p>
          <w:p w:rsidR="001A6EDC" w:rsidRPr="009E77EC" w:rsidRDefault="001A6EDC" w:rsidP="002C5F81">
            <w:pPr>
              <w:spacing w:line="340" w:lineRule="exact"/>
              <w:jc w:val="center"/>
            </w:pPr>
            <w:r w:rsidRPr="009E77EC">
              <w:t>217,425</w:t>
            </w:r>
            <w:r w:rsidRPr="009E77EC">
              <w:t>元</w:t>
            </w:r>
          </w:p>
        </w:tc>
      </w:tr>
      <w:tr w:rsidR="009E77EC" w:rsidRPr="009E77EC" w:rsidTr="002C5F81">
        <w:tc>
          <w:tcPr>
            <w:tcW w:w="1838" w:type="dxa"/>
            <w:vAlign w:val="center"/>
          </w:tcPr>
          <w:p w:rsidR="001A6EDC" w:rsidRPr="009E77EC" w:rsidRDefault="001A6EDC" w:rsidP="002C5F81">
            <w:pPr>
              <w:jc w:val="center"/>
            </w:pPr>
            <w:r w:rsidRPr="009E77EC">
              <w:t>三、教授級</w:t>
            </w:r>
          </w:p>
        </w:tc>
        <w:tc>
          <w:tcPr>
            <w:tcW w:w="2410" w:type="dxa"/>
            <w:vAlign w:val="center"/>
          </w:tcPr>
          <w:p w:rsidR="001A6EDC" w:rsidRPr="009E77EC" w:rsidRDefault="001A6EDC" w:rsidP="002C5F81">
            <w:pPr>
              <w:spacing w:line="340" w:lineRule="exact"/>
              <w:jc w:val="center"/>
            </w:pPr>
            <w:r w:rsidRPr="009E77EC">
              <w:t>每人每日</w:t>
            </w:r>
            <w:r w:rsidR="002C5F81" w:rsidRPr="009E77EC">
              <w:t>新臺幣</w:t>
            </w:r>
          </w:p>
          <w:p w:rsidR="001A6EDC" w:rsidRPr="009E77EC" w:rsidRDefault="001A6EDC" w:rsidP="002C5F81">
            <w:pPr>
              <w:spacing w:line="340" w:lineRule="exact"/>
              <w:jc w:val="center"/>
            </w:pPr>
            <w:r w:rsidRPr="009E77EC">
              <w:t>8,915</w:t>
            </w:r>
            <w:r w:rsidRPr="009E77EC">
              <w:t>元</w:t>
            </w:r>
          </w:p>
        </w:tc>
        <w:tc>
          <w:tcPr>
            <w:tcW w:w="2383" w:type="dxa"/>
            <w:vAlign w:val="center"/>
          </w:tcPr>
          <w:p w:rsidR="001A6EDC" w:rsidRPr="009E77EC" w:rsidRDefault="001A6EDC" w:rsidP="002C5F81">
            <w:pPr>
              <w:spacing w:line="340" w:lineRule="exact"/>
              <w:jc w:val="center"/>
            </w:pPr>
            <w:r w:rsidRPr="009E77EC">
              <w:t>每人每月</w:t>
            </w:r>
            <w:r w:rsidR="002C5F81" w:rsidRPr="009E77EC">
              <w:t>新臺幣</w:t>
            </w:r>
          </w:p>
          <w:p w:rsidR="001A6EDC" w:rsidRPr="009E77EC" w:rsidRDefault="001A6EDC" w:rsidP="002C5F81">
            <w:pPr>
              <w:spacing w:line="340" w:lineRule="exact"/>
              <w:jc w:val="center"/>
            </w:pPr>
            <w:r w:rsidRPr="009E77EC">
              <w:t>188,435</w:t>
            </w:r>
            <w:r w:rsidRPr="009E77EC">
              <w:t>元</w:t>
            </w:r>
          </w:p>
        </w:tc>
        <w:tc>
          <w:tcPr>
            <w:tcW w:w="2397" w:type="dxa"/>
            <w:vAlign w:val="center"/>
          </w:tcPr>
          <w:p w:rsidR="001A6EDC" w:rsidRPr="009E77EC" w:rsidRDefault="001A6EDC" w:rsidP="002C5F81">
            <w:pPr>
              <w:spacing w:line="340" w:lineRule="exact"/>
              <w:jc w:val="center"/>
            </w:pPr>
            <w:r w:rsidRPr="009E77EC">
              <w:t>每人每月</w:t>
            </w:r>
            <w:r w:rsidR="002C5F81" w:rsidRPr="009E77EC">
              <w:t>新臺幣</w:t>
            </w:r>
          </w:p>
          <w:p w:rsidR="001A6EDC" w:rsidRPr="009E77EC" w:rsidRDefault="001A6EDC" w:rsidP="002C5F81">
            <w:pPr>
              <w:spacing w:line="340" w:lineRule="exact"/>
              <w:jc w:val="center"/>
            </w:pPr>
            <w:r w:rsidRPr="009E77EC">
              <w:t>173,945</w:t>
            </w:r>
            <w:r w:rsidRPr="009E77EC">
              <w:t>元</w:t>
            </w:r>
          </w:p>
        </w:tc>
      </w:tr>
      <w:tr w:rsidR="009E77EC" w:rsidRPr="009E77EC" w:rsidTr="002C5F81">
        <w:tc>
          <w:tcPr>
            <w:tcW w:w="1838" w:type="dxa"/>
            <w:vAlign w:val="center"/>
          </w:tcPr>
          <w:p w:rsidR="001A6EDC" w:rsidRPr="009E77EC" w:rsidRDefault="001A6EDC" w:rsidP="002C5F81">
            <w:pPr>
              <w:jc w:val="center"/>
            </w:pPr>
            <w:r w:rsidRPr="009E77EC">
              <w:t>四、副教授級</w:t>
            </w:r>
          </w:p>
        </w:tc>
        <w:tc>
          <w:tcPr>
            <w:tcW w:w="2410" w:type="dxa"/>
            <w:vAlign w:val="center"/>
          </w:tcPr>
          <w:p w:rsidR="001A6EDC" w:rsidRPr="009E77EC" w:rsidRDefault="001A6EDC" w:rsidP="002C5F81">
            <w:pPr>
              <w:spacing w:line="340" w:lineRule="exact"/>
              <w:jc w:val="center"/>
            </w:pPr>
            <w:r w:rsidRPr="009E77EC">
              <w:t>每人每日</w:t>
            </w:r>
            <w:r w:rsidR="002C5F81" w:rsidRPr="009E77EC">
              <w:t>新臺幣</w:t>
            </w:r>
          </w:p>
          <w:p w:rsidR="001A6EDC" w:rsidRPr="009E77EC" w:rsidRDefault="001A6EDC" w:rsidP="002C5F81">
            <w:pPr>
              <w:spacing w:line="340" w:lineRule="exact"/>
              <w:jc w:val="center"/>
            </w:pPr>
            <w:r w:rsidRPr="009E77EC">
              <w:t>7,130</w:t>
            </w:r>
            <w:r w:rsidRPr="009E77EC">
              <w:t>元</w:t>
            </w:r>
          </w:p>
        </w:tc>
        <w:tc>
          <w:tcPr>
            <w:tcW w:w="2383" w:type="dxa"/>
            <w:vAlign w:val="center"/>
          </w:tcPr>
          <w:p w:rsidR="001A6EDC" w:rsidRPr="009E77EC" w:rsidRDefault="001A6EDC" w:rsidP="002C5F81">
            <w:pPr>
              <w:spacing w:line="340" w:lineRule="exact"/>
              <w:jc w:val="center"/>
            </w:pPr>
            <w:r w:rsidRPr="009E77EC">
              <w:t>每人每月</w:t>
            </w:r>
            <w:r w:rsidR="002C5F81" w:rsidRPr="009E77EC">
              <w:t>新臺幣</w:t>
            </w:r>
          </w:p>
          <w:p w:rsidR="001A6EDC" w:rsidRPr="009E77EC" w:rsidRDefault="001A6EDC" w:rsidP="002C5F81">
            <w:pPr>
              <w:spacing w:line="340" w:lineRule="exact"/>
              <w:jc w:val="center"/>
            </w:pPr>
            <w:r w:rsidRPr="009E77EC">
              <w:t>144,950</w:t>
            </w:r>
            <w:r w:rsidRPr="009E77EC">
              <w:t>元</w:t>
            </w:r>
          </w:p>
        </w:tc>
        <w:tc>
          <w:tcPr>
            <w:tcW w:w="2397" w:type="dxa"/>
            <w:vAlign w:val="center"/>
          </w:tcPr>
          <w:p w:rsidR="001A6EDC" w:rsidRPr="009E77EC" w:rsidRDefault="001A6EDC" w:rsidP="002C5F81">
            <w:pPr>
              <w:spacing w:line="340" w:lineRule="exact"/>
              <w:jc w:val="center"/>
            </w:pPr>
            <w:r w:rsidRPr="009E77EC">
              <w:t>每人每月</w:t>
            </w:r>
            <w:r w:rsidR="002C5F81" w:rsidRPr="009E77EC">
              <w:t>新臺幣</w:t>
            </w:r>
          </w:p>
          <w:p w:rsidR="001A6EDC" w:rsidRPr="009E77EC" w:rsidRDefault="001A6EDC" w:rsidP="002C5F81">
            <w:pPr>
              <w:spacing w:line="340" w:lineRule="exact"/>
              <w:jc w:val="center"/>
            </w:pPr>
            <w:r w:rsidRPr="009E77EC">
              <w:t>130,460</w:t>
            </w:r>
            <w:r w:rsidRPr="009E77EC">
              <w:t>元</w:t>
            </w:r>
          </w:p>
        </w:tc>
      </w:tr>
      <w:tr w:rsidR="009E77EC" w:rsidRPr="009E77EC" w:rsidTr="002C5F81">
        <w:tc>
          <w:tcPr>
            <w:tcW w:w="1838" w:type="dxa"/>
            <w:vAlign w:val="center"/>
          </w:tcPr>
          <w:p w:rsidR="00784B24" w:rsidRPr="009E77EC" w:rsidRDefault="00784B24" w:rsidP="002C5F81">
            <w:pPr>
              <w:jc w:val="center"/>
            </w:pPr>
            <w:r w:rsidRPr="009E77EC">
              <w:t>五、助理教授級</w:t>
            </w:r>
          </w:p>
        </w:tc>
        <w:tc>
          <w:tcPr>
            <w:tcW w:w="2410" w:type="dxa"/>
            <w:vAlign w:val="center"/>
          </w:tcPr>
          <w:p w:rsidR="00784B24" w:rsidRPr="009E77EC" w:rsidRDefault="00784B24" w:rsidP="002C5F81">
            <w:pPr>
              <w:spacing w:line="340" w:lineRule="exact"/>
              <w:jc w:val="center"/>
            </w:pPr>
            <w:r w:rsidRPr="009E77EC">
              <w:t>每人每日</w:t>
            </w:r>
            <w:r w:rsidR="002C5F81" w:rsidRPr="009E77EC">
              <w:t>新臺幣</w:t>
            </w:r>
          </w:p>
          <w:p w:rsidR="00784B24" w:rsidRPr="009E77EC" w:rsidRDefault="00784B24" w:rsidP="002C5F81">
            <w:pPr>
              <w:spacing w:line="340" w:lineRule="exact"/>
              <w:jc w:val="center"/>
            </w:pPr>
            <w:r w:rsidRPr="009E77EC">
              <w:t>5,350</w:t>
            </w:r>
            <w:r w:rsidRPr="009E77EC">
              <w:t>元</w:t>
            </w:r>
          </w:p>
        </w:tc>
        <w:tc>
          <w:tcPr>
            <w:tcW w:w="2383" w:type="dxa"/>
            <w:vAlign w:val="center"/>
          </w:tcPr>
          <w:p w:rsidR="00784B24" w:rsidRPr="009E77EC" w:rsidRDefault="00784B24" w:rsidP="002C5F81">
            <w:pPr>
              <w:spacing w:line="340" w:lineRule="exact"/>
              <w:jc w:val="center"/>
            </w:pPr>
            <w:r w:rsidRPr="009E77EC">
              <w:t>每人每月</w:t>
            </w:r>
            <w:r w:rsidR="002C5F81" w:rsidRPr="009E77EC">
              <w:t>新臺幣</w:t>
            </w:r>
          </w:p>
          <w:p w:rsidR="00784B24" w:rsidRPr="009E77EC" w:rsidRDefault="00784B24" w:rsidP="002C5F81">
            <w:pPr>
              <w:spacing w:line="340" w:lineRule="exact"/>
              <w:jc w:val="center"/>
            </w:pPr>
            <w:r w:rsidRPr="009E77EC">
              <w:t>101,365</w:t>
            </w:r>
          </w:p>
        </w:tc>
        <w:tc>
          <w:tcPr>
            <w:tcW w:w="2397" w:type="dxa"/>
            <w:vAlign w:val="center"/>
          </w:tcPr>
          <w:p w:rsidR="00784B24" w:rsidRPr="009E77EC" w:rsidRDefault="00784B24" w:rsidP="002C5F81">
            <w:pPr>
              <w:spacing w:line="340" w:lineRule="exact"/>
              <w:jc w:val="center"/>
            </w:pPr>
            <w:r w:rsidRPr="009E77EC">
              <w:t>每人每月</w:t>
            </w:r>
            <w:r w:rsidR="002C5F81" w:rsidRPr="009E77EC">
              <w:t>新臺幣</w:t>
            </w:r>
          </w:p>
          <w:p w:rsidR="00784B24" w:rsidRPr="009E77EC" w:rsidRDefault="00784B24" w:rsidP="002C5F81">
            <w:pPr>
              <w:spacing w:line="340" w:lineRule="exact"/>
              <w:jc w:val="center"/>
            </w:pPr>
            <w:r w:rsidRPr="009E77EC">
              <w:t>87,035</w:t>
            </w:r>
            <w:r w:rsidRPr="009E77EC">
              <w:t>元</w:t>
            </w:r>
          </w:p>
        </w:tc>
      </w:tr>
    </w:tbl>
    <w:p w:rsidR="00F76E22" w:rsidRPr="009E77EC" w:rsidRDefault="002C5F81" w:rsidP="002C5F81">
      <w:pPr>
        <w:spacing w:line="480" w:lineRule="exact"/>
        <w:jc w:val="both"/>
      </w:pPr>
      <w:r w:rsidRPr="009E77EC">
        <w:rPr>
          <w:rFonts w:hint="eastAsia"/>
        </w:rPr>
        <w:t>【</w:t>
      </w:r>
      <w:r w:rsidRPr="009E77EC">
        <w:t>說明</w:t>
      </w:r>
      <w:r w:rsidRPr="009E77EC">
        <w:rPr>
          <w:rFonts w:hint="eastAsia"/>
        </w:rPr>
        <w:t>】</w:t>
      </w:r>
      <w:r w:rsidR="00F76E22" w:rsidRPr="009E77EC">
        <w:t>表列各級人員須符合下列資格條件：</w:t>
      </w:r>
    </w:p>
    <w:p w:rsidR="00F76E22" w:rsidRPr="009E77EC" w:rsidRDefault="00F76E22" w:rsidP="002C5F81">
      <w:pPr>
        <w:spacing w:line="480" w:lineRule="exact"/>
        <w:ind w:leftChars="413" w:left="991" w:firstLine="2"/>
        <w:jc w:val="both"/>
      </w:pPr>
      <w:r w:rsidRPr="009E77EC">
        <w:t>諾貝爾級：曾獲諾貝爾獎、國家院士或具有相當資格之專家、學者。</w:t>
      </w:r>
    </w:p>
    <w:p w:rsidR="00F76E22" w:rsidRPr="009E77EC" w:rsidRDefault="00F76E22" w:rsidP="002C5F81">
      <w:pPr>
        <w:spacing w:line="480" w:lineRule="exact"/>
        <w:ind w:leftChars="413" w:left="991" w:firstLine="2"/>
        <w:jc w:val="both"/>
      </w:pPr>
      <w:r w:rsidRPr="009E77EC">
        <w:t>特聘講座：</w:t>
      </w:r>
    </w:p>
    <w:p w:rsidR="00F76E22" w:rsidRPr="009E77EC" w:rsidRDefault="002C5F81" w:rsidP="002C5F81">
      <w:pPr>
        <w:spacing w:line="480" w:lineRule="exact"/>
        <w:ind w:leftChars="590" w:left="1699" w:hangingChars="118" w:hanging="283"/>
        <w:jc w:val="both"/>
      </w:pPr>
      <w:r w:rsidRPr="009E77EC">
        <w:t>1.</w:t>
      </w:r>
      <w:r w:rsidR="00F76E22" w:rsidRPr="009E77EC">
        <w:t>曾任國外著名大學教授，最近五年內有著作發表為國際所推崇者。</w:t>
      </w:r>
    </w:p>
    <w:p w:rsidR="00F76E22" w:rsidRPr="009E77EC" w:rsidRDefault="00F76E22" w:rsidP="002C5F81">
      <w:pPr>
        <w:spacing w:line="480" w:lineRule="exact"/>
        <w:ind w:leftChars="590" w:left="1699" w:hangingChars="118" w:hanging="283"/>
        <w:jc w:val="both"/>
      </w:pPr>
      <w:r w:rsidRPr="009E77EC">
        <w:t>2</w:t>
      </w:r>
      <w:r w:rsidR="002C5F81" w:rsidRPr="009E77EC">
        <w:t>.</w:t>
      </w:r>
      <w:r w:rsidRPr="009E77EC">
        <w:t>在學術上有崇高地位為國際知名，而為國內所無之專家、學者。</w:t>
      </w:r>
    </w:p>
    <w:p w:rsidR="00F76E22" w:rsidRPr="009E77EC" w:rsidRDefault="00F76E22" w:rsidP="002C5F81">
      <w:pPr>
        <w:spacing w:line="480" w:lineRule="exact"/>
        <w:ind w:leftChars="590" w:left="1699" w:hangingChars="118" w:hanging="283"/>
        <w:jc w:val="both"/>
      </w:pPr>
      <w:r w:rsidRPr="009E77EC">
        <w:t>3</w:t>
      </w:r>
      <w:r w:rsidR="002C5F81" w:rsidRPr="009E77EC">
        <w:t>.</w:t>
      </w:r>
      <w:r w:rsidRPr="009E77EC">
        <w:t>在應用科學</w:t>
      </w:r>
      <w:r w:rsidR="00784B24" w:rsidRPr="009E77EC">
        <w:t>、</w:t>
      </w:r>
      <w:r w:rsidRPr="009E77EC">
        <w:t>技術</w:t>
      </w:r>
      <w:r w:rsidR="00784B24" w:rsidRPr="009E77EC">
        <w:t>或專業領域</w:t>
      </w:r>
      <w:r w:rsidRPr="009E77EC">
        <w:t>上有特殊成就，並曾在國外擔任同等質量工作有年者。</w:t>
      </w:r>
    </w:p>
    <w:p w:rsidR="002C5F81" w:rsidRPr="009E77EC" w:rsidRDefault="00F76E22" w:rsidP="002C5F81">
      <w:pPr>
        <w:spacing w:line="480" w:lineRule="exact"/>
        <w:ind w:leftChars="472" w:left="2127" w:hangingChars="414" w:hanging="994"/>
        <w:jc w:val="both"/>
      </w:pPr>
      <w:r w:rsidRPr="009E77EC">
        <w:t>教授級：</w:t>
      </w:r>
      <w:r w:rsidR="00784B24" w:rsidRPr="009E77EC">
        <w:t>在應用科學、技術或專業領域上有特殊成就之</w:t>
      </w:r>
      <w:r w:rsidRPr="009E77EC">
        <w:t>教授或具有相當資格之專家、學者。</w:t>
      </w:r>
    </w:p>
    <w:p w:rsidR="002C5F81" w:rsidRPr="009E77EC" w:rsidRDefault="00F76E22" w:rsidP="002C5F81">
      <w:pPr>
        <w:spacing w:line="480" w:lineRule="exact"/>
        <w:ind w:leftChars="472" w:left="2127" w:hangingChars="414" w:hanging="994"/>
        <w:jc w:val="both"/>
      </w:pPr>
      <w:r w:rsidRPr="009E77EC">
        <w:t>副教授級：</w:t>
      </w:r>
      <w:r w:rsidR="00784B24" w:rsidRPr="009E77EC">
        <w:t>在應用科學、技術或專業領域上有特殊成就之</w:t>
      </w:r>
      <w:r w:rsidRPr="009E77EC">
        <w:t>副教授或具有相當資格之專家、學者。</w:t>
      </w:r>
    </w:p>
    <w:p w:rsidR="00F76E22" w:rsidRPr="009E77EC" w:rsidRDefault="00784B24" w:rsidP="00F65A4C">
      <w:pPr>
        <w:spacing w:line="480" w:lineRule="exact"/>
        <w:ind w:leftChars="472" w:left="2127" w:hangingChars="414" w:hanging="994"/>
        <w:jc w:val="both"/>
      </w:pPr>
      <w:r w:rsidRPr="009E77EC">
        <w:t>助理教授級：在應用科學、技術或專業領域上有特殊成就之助理教授或具有相當資格之專家、學者。</w:t>
      </w:r>
    </w:p>
    <w:sectPr w:rsidR="00F76E22" w:rsidRPr="009E77EC" w:rsidSect="00F65A4C">
      <w:pgSz w:w="11907" w:h="16840" w:code="9"/>
      <w:pgMar w:top="1247" w:right="1276" w:bottom="1418" w:left="1304" w:header="720" w:footer="62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82" w:rsidRDefault="00C96482">
      <w:r>
        <w:separator/>
      </w:r>
    </w:p>
  </w:endnote>
  <w:endnote w:type="continuationSeparator" w:id="0">
    <w:p w:rsidR="00C96482" w:rsidRDefault="00C9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B4" w:rsidRDefault="005A08B4" w:rsidP="001F1C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A08B4" w:rsidRDefault="005A08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914660"/>
      <w:docPartObj>
        <w:docPartGallery w:val="Page Numbers (Bottom of Page)"/>
        <w:docPartUnique/>
      </w:docPartObj>
    </w:sdtPr>
    <w:sdtEndPr/>
    <w:sdtContent>
      <w:p w:rsidR="00F65A4C" w:rsidRDefault="00F65A4C">
        <w:pPr>
          <w:pStyle w:val="a5"/>
          <w:jc w:val="center"/>
        </w:pPr>
        <w:r>
          <w:fldChar w:fldCharType="begin"/>
        </w:r>
        <w:r>
          <w:instrText xml:space="preserve"> PAGE  \* Arabic  \* MERGEFORMAT </w:instrText>
        </w:r>
        <w:r>
          <w:fldChar w:fldCharType="separate"/>
        </w:r>
        <w:r w:rsidR="001F2EEE">
          <w:rPr>
            <w:noProof/>
          </w:rPr>
          <w:t>1</w:t>
        </w:r>
        <w:r>
          <w:fldChar w:fldCharType="end"/>
        </w:r>
      </w:p>
    </w:sdtContent>
  </w:sdt>
  <w:p w:rsidR="00F65A4C" w:rsidRDefault="00F65A4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455791"/>
      <w:docPartObj>
        <w:docPartGallery w:val="Page Numbers (Bottom of Page)"/>
        <w:docPartUnique/>
      </w:docPartObj>
    </w:sdtPr>
    <w:sdtEndPr/>
    <w:sdtContent>
      <w:p w:rsidR="00F65A4C" w:rsidRDefault="00C96482">
        <w:pPr>
          <w:pStyle w:val="a5"/>
          <w:jc w:val="center"/>
        </w:pPr>
      </w:p>
    </w:sdtContent>
  </w:sdt>
  <w:p w:rsidR="00F65A4C" w:rsidRDefault="00F65A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82" w:rsidRDefault="00C96482">
      <w:r>
        <w:separator/>
      </w:r>
    </w:p>
  </w:footnote>
  <w:footnote w:type="continuationSeparator" w:id="0">
    <w:p w:rsidR="00C96482" w:rsidRDefault="00C96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B1EC1"/>
    <w:multiLevelType w:val="hybridMultilevel"/>
    <w:tmpl w:val="1C8818BC"/>
    <w:lvl w:ilvl="0" w:tplc="0409000F">
      <w:start w:val="1"/>
      <w:numFmt w:val="decimal"/>
      <w:lvlText w:val="%1."/>
      <w:lvlJc w:val="left"/>
      <w:pPr>
        <w:ind w:left="1175" w:hanging="480"/>
      </w:pPr>
    </w:lvl>
    <w:lvl w:ilvl="1" w:tplc="04090019" w:tentative="1">
      <w:start w:val="1"/>
      <w:numFmt w:val="ideographTraditional"/>
      <w:lvlText w:val="%2、"/>
      <w:lvlJc w:val="left"/>
      <w:pPr>
        <w:ind w:left="1655" w:hanging="480"/>
      </w:pPr>
    </w:lvl>
    <w:lvl w:ilvl="2" w:tplc="0409001B" w:tentative="1">
      <w:start w:val="1"/>
      <w:numFmt w:val="lowerRoman"/>
      <w:lvlText w:val="%3."/>
      <w:lvlJc w:val="right"/>
      <w:pPr>
        <w:ind w:left="2135" w:hanging="480"/>
      </w:pPr>
    </w:lvl>
    <w:lvl w:ilvl="3" w:tplc="0409000F" w:tentative="1">
      <w:start w:val="1"/>
      <w:numFmt w:val="decimal"/>
      <w:lvlText w:val="%4."/>
      <w:lvlJc w:val="left"/>
      <w:pPr>
        <w:ind w:left="2615" w:hanging="480"/>
      </w:pPr>
    </w:lvl>
    <w:lvl w:ilvl="4" w:tplc="04090019" w:tentative="1">
      <w:start w:val="1"/>
      <w:numFmt w:val="ideographTraditional"/>
      <w:lvlText w:val="%5、"/>
      <w:lvlJc w:val="left"/>
      <w:pPr>
        <w:ind w:left="3095" w:hanging="480"/>
      </w:pPr>
    </w:lvl>
    <w:lvl w:ilvl="5" w:tplc="0409001B" w:tentative="1">
      <w:start w:val="1"/>
      <w:numFmt w:val="lowerRoman"/>
      <w:lvlText w:val="%6."/>
      <w:lvlJc w:val="right"/>
      <w:pPr>
        <w:ind w:left="3575" w:hanging="480"/>
      </w:pPr>
    </w:lvl>
    <w:lvl w:ilvl="6" w:tplc="0409000F" w:tentative="1">
      <w:start w:val="1"/>
      <w:numFmt w:val="decimal"/>
      <w:lvlText w:val="%7."/>
      <w:lvlJc w:val="left"/>
      <w:pPr>
        <w:ind w:left="4055" w:hanging="480"/>
      </w:pPr>
    </w:lvl>
    <w:lvl w:ilvl="7" w:tplc="04090019" w:tentative="1">
      <w:start w:val="1"/>
      <w:numFmt w:val="ideographTraditional"/>
      <w:lvlText w:val="%8、"/>
      <w:lvlJc w:val="left"/>
      <w:pPr>
        <w:ind w:left="4535" w:hanging="480"/>
      </w:pPr>
    </w:lvl>
    <w:lvl w:ilvl="8" w:tplc="0409001B" w:tentative="1">
      <w:start w:val="1"/>
      <w:numFmt w:val="lowerRoman"/>
      <w:lvlText w:val="%9."/>
      <w:lvlJc w:val="right"/>
      <w:pPr>
        <w:ind w:left="5015" w:hanging="480"/>
      </w:pPr>
    </w:lvl>
  </w:abstractNum>
  <w:abstractNum w:abstractNumId="1">
    <w:nsid w:val="206F0A67"/>
    <w:multiLevelType w:val="hybridMultilevel"/>
    <w:tmpl w:val="6AC696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F62031"/>
    <w:multiLevelType w:val="singleLevel"/>
    <w:tmpl w:val="734E0F2C"/>
    <w:lvl w:ilvl="0">
      <w:start w:val="1"/>
      <w:numFmt w:val="decimal"/>
      <w:lvlText w:val="(%1)"/>
      <w:lvlJc w:val="left"/>
      <w:pPr>
        <w:tabs>
          <w:tab w:val="num" w:pos="695"/>
        </w:tabs>
        <w:ind w:left="695" w:hanging="270"/>
      </w:pPr>
      <w:rPr>
        <w:rFonts w:hint="default"/>
      </w:rPr>
    </w:lvl>
  </w:abstractNum>
  <w:abstractNum w:abstractNumId="3">
    <w:nsid w:val="394C569D"/>
    <w:multiLevelType w:val="singleLevel"/>
    <w:tmpl w:val="22A8FBC0"/>
    <w:lvl w:ilvl="0">
      <w:start w:val="1"/>
      <w:numFmt w:val="decimal"/>
      <w:lvlText w:val="(%1)"/>
      <w:lvlJc w:val="left"/>
      <w:pPr>
        <w:tabs>
          <w:tab w:val="num" w:pos="695"/>
        </w:tabs>
        <w:ind w:left="695" w:hanging="270"/>
      </w:pPr>
      <w:rPr>
        <w:rFonts w:hint="default"/>
      </w:rPr>
    </w:lvl>
  </w:abstractNum>
  <w:abstractNum w:abstractNumId="4">
    <w:nsid w:val="3A8821A9"/>
    <w:multiLevelType w:val="hybridMultilevel"/>
    <w:tmpl w:val="2EF850C4"/>
    <w:lvl w:ilvl="0" w:tplc="0409000F">
      <w:start w:val="1"/>
      <w:numFmt w:val="decimal"/>
      <w:lvlText w:val="%1."/>
      <w:lvlJc w:val="left"/>
      <w:pPr>
        <w:ind w:left="1175" w:hanging="480"/>
      </w:pPr>
    </w:lvl>
    <w:lvl w:ilvl="1" w:tplc="04090019" w:tentative="1">
      <w:start w:val="1"/>
      <w:numFmt w:val="ideographTraditional"/>
      <w:lvlText w:val="%2、"/>
      <w:lvlJc w:val="left"/>
      <w:pPr>
        <w:ind w:left="1655" w:hanging="480"/>
      </w:pPr>
    </w:lvl>
    <w:lvl w:ilvl="2" w:tplc="0409001B" w:tentative="1">
      <w:start w:val="1"/>
      <w:numFmt w:val="lowerRoman"/>
      <w:lvlText w:val="%3."/>
      <w:lvlJc w:val="right"/>
      <w:pPr>
        <w:ind w:left="2135" w:hanging="480"/>
      </w:pPr>
    </w:lvl>
    <w:lvl w:ilvl="3" w:tplc="0409000F" w:tentative="1">
      <w:start w:val="1"/>
      <w:numFmt w:val="decimal"/>
      <w:lvlText w:val="%4."/>
      <w:lvlJc w:val="left"/>
      <w:pPr>
        <w:ind w:left="2615" w:hanging="480"/>
      </w:pPr>
    </w:lvl>
    <w:lvl w:ilvl="4" w:tplc="04090019" w:tentative="1">
      <w:start w:val="1"/>
      <w:numFmt w:val="ideographTraditional"/>
      <w:lvlText w:val="%5、"/>
      <w:lvlJc w:val="left"/>
      <w:pPr>
        <w:ind w:left="3095" w:hanging="480"/>
      </w:pPr>
    </w:lvl>
    <w:lvl w:ilvl="5" w:tplc="0409001B" w:tentative="1">
      <w:start w:val="1"/>
      <w:numFmt w:val="lowerRoman"/>
      <w:lvlText w:val="%6."/>
      <w:lvlJc w:val="right"/>
      <w:pPr>
        <w:ind w:left="3575" w:hanging="480"/>
      </w:pPr>
    </w:lvl>
    <w:lvl w:ilvl="6" w:tplc="0409000F" w:tentative="1">
      <w:start w:val="1"/>
      <w:numFmt w:val="decimal"/>
      <w:lvlText w:val="%7."/>
      <w:lvlJc w:val="left"/>
      <w:pPr>
        <w:ind w:left="4055" w:hanging="480"/>
      </w:pPr>
    </w:lvl>
    <w:lvl w:ilvl="7" w:tplc="04090019" w:tentative="1">
      <w:start w:val="1"/>
      <w:numFmt w:val="ideographTraditional"/>
      <w:lvlText w:val="%8、"/>
      <w:lvlJc w:val="left"/>
      <w:pPr>
        <w:ind w:left="4535" w:hanging="480"/>
      </w:pPr>
    </w:lvl>
    <w:lvl w:ilvl="8" w:tplc="0409001B" w:tentative="1">
      <w:start w:val="1"/>
      <w:numFmt w:val="lowerRoman"/>
      <w:lvlText w:val="%9."/>
      <w:lvlJc w:val="right"/>
      <w:pPr>
        <w:ind w:left="5015" w:hanging="480"/>
      </w:pPr>
    </w:lvl>
  </w:abstractNum>
  <w:abstractNum w:abstractNumId="5">
    <w:nsid w:val="3B155AEC"/>
    <w:multiLevelType w:val="hybridMultilevel"/>
    <w:tmpl w:val="D6A0744C"/>
    <w:lvl w:ilvl="0" w:tplc="E45EAFE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FA6D27"/>
    <w:multiLevelType w:val="singleLevel"/>
    <w:tmpl w:val="7BAAC7E0"/>
    <w:lvl w:ilvl="0">
      <w:start w:val="1"/>
      <w:numFmt w:val="decimal"/>
      <w:lvlText w:val="(%1)"/>
      <w:lvlJc w:val="left"/>
      <w:pPr>
        <w:tabs>
          <w:tab w:val="num" w:pos="695"/>
        </w:tabs>
        <w:ind w:left="695" w:hanging="270"/>
      </w:pPr>
      <w:rPr>
        <w:rFonts w:hint="default"/>
      </w:rPr>
    </w:lvl>
  </w:abstractNum>
  <w:abstractNum w:abstractNumId="7">
    <w:nsid w:val="460C712E"/>
    <w:multiLevelType w:val="singleLevel"/>
    <w:tmpl w:val="9C807588"/>
    <w:lvl w:ilvl="0">
      <w:start w:val="1"/>
      <w:numFmt w:val="decimal"/>
      <w:lvlText w:val="(%1)"/>
      <w:lvlJc w:val="left"/>
      <w:pPr>
        <w:tabs>
          <w:tab w:val="num" w:pos="695"/>
        </w:tabs>
        <w:ind w:left="695" w:hanging="270"/>
      </w:pPr>
      <w:rPr>
        <w:rFonts w:hint="default"/>
      </w:rPr>
    </w:lvl>
  </w:abstractNum>
  <w:abstractNum w:abstractNumId="8">
    <w:nsid w:val="4A8B731B"/>
    <w:multiLevelType w:val="hybridMultilevel"/>
    <w:tmpl w:val="3CD87F6C"/>
    <w:lvl w:ilvl="0" w:tplc="0409000F">
      <w:start w:val="1"/>
      <w:numFmt w:val="decimal"/>
      <w:lvlText w:val="%1."/>
      <w:lvlJc w:val="left"/>
      <w:pPr>
        <w:ind w:left="1175" w:hanging="480"/>
      </w:pPr>
    </w:lvl>
    <w:lvl w:ilvl="1" w:tplc="04090019" w:tentative="1">
      <w:start w:val="1"/>
      <w:numFmt w:val="ideographTraditional"/>
      <w:lvlText w:val="%2、"/>
      <w:lvlJc w:val="left"/>
      <w:pPr>
        <w:ind w:left="1655" w:hanging="480"/>
      </w:pPr>
    </w:lvl>
    <w:lvl w:ilvl="2" w:tplc="0409001B" w:tentative="1">
      <w:start w:val="1"/>
      <w:numFmt w:val="lowerRoman"/>
      <w:lvlText w:val="%3."/>
      <w:lvlJc w:val="right"/>
      <w:pPr>
        <w:ind w:left="2135" w:hanging="480"/>
      </w:pPr>
    </w:lvl>
    <w:lvl w:ilvl="3" w:tplc="0409000F" w:tentative="1">
      <w:start w:val="1"/>
      <w:numFmt w:val="decimal"/>
      <w:lvlText w:val="%4."/>
      <w:lvlJc w:val="left"/>
      <w:pPr>
        <w:ind w:left="2615" w:hanging="480"/>
      </w:pPr>
    </w:lvl>
    <w:lvl w:ilvl="4" w:tplc="04090019" w:tentative="1">
      <w:start w:val="1"/>
      <w:numFmt w:val="ideographTraditional"/>
      <w:lvlText w:val="%5、"/>
      <w:lvlJc w:val="left"/>
      <w:pPr>
        <w:ind w:left="3095" w:hanging="480"/>
      </w:pPr>
    </w:lvl>
    <w:lvl w:ilvl="5" w:tplc="0409001B" w:tentative="1">
      <w:start w:val="1"/>
      <w:numFmt w:val="lowerRoman"/>
      <w:lvlText w:val="%6."/>
      <w:lvlJc w:val="right"/>
      <w:pPr>
        <w:ind w:left="3575" w:hanging="480"/>
      </w:pPr>
    </w:lvl>
    <w:lvl w:ilvl="6" w:tplc="0409000F" w:tentative="1">
      <w:start w:val="1"/>
      <w:numFmt w:val="decimal"/>
      <w:lvlText w:val="%7."/>
      <w:lvlJc w:val="left"/>
      <w:pPr>
        <w:ind w:left="4055" w:hanging="480"/>
      </w:pPr>
    </w:lvl>
    <w:lvl w:ilvl="7" w:tplc="04090019" w:tentative="1">
      <w:start w:val="1"/>
      <w:numFmt w:val="ideographTraditional"/>
      <w:lvlText w:val="%8、"/>
      <w:lvlJc w:val="left"/>
      <w:pPr>
        <w:ind w:left="4535" w:hanging="480"/>
      </w:pPr>
    </w:lvl>
    <w:lvl w:ilvl="8" w:tplc="0409001B" w:tentative="1">
      <w:start w:val="1"/>
      <w:numFmt w:val="lowerRoman"/>
      <w:lvlText w:val="%9."/>
      <w:lvlJc w:val="right"/>
      <w:pPr>
        <w:ind w:left="5015" w:hanging="480"/>
      </w:pPr>
    </w:lvl>
  </w:abstractNum>
  <w:abstractNum w:abstractNumId="9">
    <w:nsid w:val="688053EA"/>
    <w:multiLevelType w:val="hybridMultilevel"/>
    <w:tmpl w:val="F294D0EA"/>
    <w:lvl w:ilvl="0" w:tplc="0409000F">
      <w:start w:val="1"/>
      <w:numFmt w:val="decimal"/>
      <w:lvlText w:val="%1."/>
      <w:lvlJc w:val="left"/>
      <w:pPr>
        <w:ind w:left="1175" w:hanging="480"/>
      </w:pPr>
    </w:lvl>
    <w:lvl w:ilvl="1" w:tplc="04090019" w:tentative="1">
      <w:start w:val="1"/>
      <w:numFmt w:val="ideographTraditional"/>
      <w:lvlText w:val="%2、"/>
      <w:lvlJc w:val="left"/>
      <w:pPr>
        <w:ind w:left="1655" w:hanging="480"/>
      </w:pPr>
    </w:lvl>
    <w:lvl w:ilvl="2" w:tplc="0409001B" w:tentative="1">
      <w:start w:val="1"/>
      <w:numFmt w:val="lowerRoman"/>
      <w:lvlText w:val="%3."/>
      <w:lvlJc w:val="right"/>
      <w:pPr>
        <w:ind w:left="2135" w:hanging="480"/>
      </w:pPr>
    </w:lvl>
    <w:lvl w:ilvl="3" w:tplc="0409000F" w:tentative="1">
      <w:start w:val="1"/>
      <w:numFmt w:val="decimal"/>
      <w:lvlText w:val="%4."/>
      <w:lvlJc w:val="left"/>
      <w:pPr>
        <w:ind w:left="2615" w:hanging="480"/>
      </w:pPr>
    </w:lvl>
    <w:lvl w:ilvl="4" w:tplc="04090019" w:tentative="1">
      <w:start w:val="1"/>
      <w:numFmt w:val="ideographTraditional"/>
      <w:lvlText w:val="%5、"/>
      <w:lvlJc w:val="left"/>
      <w:pPr>
        <w:ind w:left="3095" w:hanging="480"/>
      </w:pPr>
    </w:lvl>
    <w:lvl w:ilvl="5" w:tplc="0409001B" w:tentative="1">
      <w:start w:val="1"/>
      <w:numFmt w:val="lowerRoman"/>
      <w:lvlText w:val="%6."/>
      <w:lvlJc w:val="right"/>
      <w:pPr>
        <w:ind w:left="3575" w:hanging="480"/>
      </w:pPr>
    </w:lvl>
    <w:lvl w:ilvl="6" w:tplc="0409000F" w:tentative="1">
      <w:start w:val="1"/>
      <w:numFmt w:val="decimal"/>
      <w:lvlText w:val="%7."/>
      <w:lvlJc w:val="left"/>
      <w:pPr>
        <w:ind w:left="4055" w:hanging="480"/>
      </w:pPr>
    </w:lvl>
    <w:lvl w:ilvl="7" w:tplc="04090019" w:tentative="1">
      <w:start w:val="1"/>
      <w:numFmt w:val="ideographTraditional"/>
      <w:lvlText w:val="%8、"/>
      <w:lvlJc w:val="left"/>
      <w:pPr>
        <w:ind w:left="4535" w:hanging="480"/>
      </w:pPr>
    </w:lvl>
    <w:lvl w:ilvl="8" w:tplc="0409001B" w:tentative="1">
      <w:start w:val="1"/>
      <w:numFmt w:val="lowerRoman"/>
      <w:lvlText w:val="%9."/>
      <w:lvlJc w:val="right"/>
      <w:pPr>
        <w:ind w:left="5015" w:hanging="480"/>
      </w:pPr>
    </w:lvl>
  </w:abstractNum>
  <w:abstractNum w:abstractNumId="10">
    <w:nsid w:val="7DF73EFD"/>
    <w:multiLevelType w:val="singleLevel"/>
    <w:tmpl w:val="0409000F"/>
    <w:lvl w:ilvl="0">
      <w:start w:val="1"/>
      <w:numFmt w:val="decimal"/>
      <w:lvlText w:val="%1."/>
      <w:lvlJc w:val="left"/>
      <w:pPr>
        <w:tabs>
          <w:tab w:val="num" w:pos="425"/>
        </w:tabs>
        <w:ind w:left="425" w:hanging="425"/>
      </w:pPr>
    </w:lvl>
  </w:abstractNum>
  <w:num w:numId="1">
    <w:abstractNumId w:val="10"/>
  </w:num>
  <w:num w:numId="2">
    <w:abstractNumId w:val="3"/>
  </w:num>
  <w:num w:numId="3">
    <w:abstractNumId w:val="6"/>
  </w:num>
  <w:num w:numId="4">
    <w:abstractNumId w:val="2"/>
  </w:num>
  <w:num w:numId="5">
    <w:abstractNumId w:val="7"/>
  </w:num>
  <w:num w:numId="6">
    <w:abstractNumId w:val="5"/>
  </w:num>
  <w:num w:numId="7">
    <w:abstractNumId w:val="0"/>
  </w:num>
  <w:num w:numId="8">
    <w:abstractNumId w:val="1"/>
  </w:num>
  <w:num w:numId="9">
    <w:abstractNumId w:val="9"/>
  </w:num>
  <w:num w:numId="10">
    <w:abstractNumId w:val="4"/>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7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E6"/>
    <w:rsid w:val="00002B82"/>
    <w:rsid w:val="00003084"/>
    <w:rsid w:val="000524C6"/>
    <w:rsid w:val="000611AF"/>
    <w:rsid w:val="000637C1"/>
    <w:rsid w:val="00086391"/>
    <w:rsid w:val="001240A5"/>
    <w:rsid w:val="00130749"/>
    <w:rsid w:val="00137A6C"/>
    <w:rsid w:val="00155B28"/>
    <w:rsid w:val="001748D4"/>
    <w:rsid w:val="001A6EDC"/>
    <w:rsid w:val="001C4B86"/>
    <w:rsid w:val="001C55BF"/>
    <w:rsid w:val="001F1CB3"/>
    <w:rsid w:val="001F2EEE"/>
    <w:rsid w:val="00252DA0"/>
    <w:rsid w:val="002C5F81"/>
    <w:rsid w:val="002C6441"/>
    <w:rsid w:val="002E723A"/>
    <w:rsid w:val="00331770"/>
    <w:rsid w:val="003415E2"/>
    <w:rsid w:val="003B46A3"/>
    <w:rsid w:val="003E4C9A"/>
    <w:rsid w:val="004130CD"/>
    <w:rsid w:val="00433451"/>
    <w:rsid w:val="00434DC8"/>
    <w:rsid w:val="0045305A"/>
    <w:rsid w:val="00477F55"/>
    <w:rsid w:val="004922CA"/>
    <w:rsid w:val="004A6201"/>
    <w:rsid w:val="00521FB5"/>
    <w:rsid w:val="005248F5"/>
    <w:rsid w:val="005350C6"/>
    <w:rsid w:val="00547AD4"/>
    <w:rsid w:val="00560828"/>
    <w:rsid w:val="00560CC9"/>
    <w:rsid w:val="005629F9"/>
    <w:rsid w:val="005A08B4"/>
    <w:rsid w:val="005A4BD9"/>
    <w:rsid w:val="005C5F41"/>
    <w:rsid w:val="005F2A2A"/>
    <w:rsid w:val="005F73C7"/>
    <w:rsid w:val="0061389E"/>
    <w:rsid w:val="00621AFD"/>
    <w:rsid w:val="006350A8"/>
    <w:rsid w:val="00655962"/>
    <w:rsid w:val="0066509B"/>
    <w:rsid w:val="00667227"/>
    <w:rsid w:val="007543EE"/>
    <w:rsid w:val="007723B5"/>
    <w:rsid w:val="00775581"/>
    <w:rsid w:val="007760AD"/>
    <w:rsid w:val="00784B24"/>
    <w:rsid w:val="007B1D31"/>
    <w:rsid w:val="007E3A54"/>
    <w:rsid w:val="008075C3"/>
    <w:rsid w:val="008266E1"/>
    <w:rsid w:val="008A69F3"/>
    <w:rsid w:val="008D26FE"/>
    <w:rsid w:val="008E7772"/>
    <w:rsid w:val="00907453"/>
    <w:rsid w:val="009612F1"/>
    <w:rsid w:val="00992D76"/>
    <w:rsid w:val="00993685"/>
    <w:rsid w:val="009E30A4"/>
    <w:rsid w:val="009E77EC"/>
    <w:rsid w:val="00A226B2"/>
    <w:rsid w:val="00A50BD7"/>
    <w:rsid w:val="00A9796E"/>
    <w:rsid w:val="00AA38FF"/>
    <w:rsid w:val="00AC0BE6"/>
    <w:rsid w:val="00AF7382"/>
    <w:rsid w:val="00B4176D"/>
    <w:rsid w:val="00B437EE"/>
    <w:rsid w:val="00B56A71"/>
    <w:rsid w:val="00B624C1"/>
    <w:rsid w:val="00C31431"/>
    <w:rsid w:val="00C455E3"/>
    <w:rsid w:val="00C60612"/>
    <w:rsid w:val="00C81694"/>
    <w:rsid w:val="00C871CF"/>
    <w:rsid w:val="00C96482"/>
    <w:rsid w:val="00C96C19"/>
    <w:rsid w:val="00CA3FD3"/>
    <w:rsid w:val="00CD2085"/>
    <w:rsid w:val="00D16B0F"/>
    <w:rsid w:val="00D22880"/>
    <w:rsid w:val="00D40512"/>
    <w:rsid w:val="00D479BE"/>
    <w:rsid w:val="00D532F0"/>
    <w:rsid w:val="00D641D8"/>
    <w:rsid w:val="00DA1266"/>
    <w:rsid w:val="00DE12BE"/>
    <w:rsid w:val="00DF0576"/>
    <w:rsid w:val="00E571D4"/>
    <w:rsid w:val="00E70BEB"/>
    <w:rsid w:val="00E92C0A"/>
    <w:rsid w:val="00F15377"/>
    <w:rsid w:val="00F26602"/>
    <w:rsid w:val="00F65A4C"/>
    <w:rsid w:val="00F66122"/>
    <w:rsid w:val="00F76E22"/>
    <w:rsid w:val="00FC5B3B"/>
    <w:rsid w:val="00FC67EE"/>
    <w:rsid w:val="00FD1B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4"/>
    </w:rPr>
  </w:style>
  <w:style w:type="paragraph" w:styleId="1">
    <w:name w:val="heading 1"/>
    <w:basedOn w:val="a"/>
    <w:next w:val="a"/>
    <w:qFormat/>
    <w:pPr>
      <w:keepNext/>
      <w:snapToGrid w:val="0"/>
      <w:spacing w:line="240" w:lineRule="exact"/>
      <w:ind w:left="113" w:right="113"/>
      <w:outlineLvl w:val="0"/>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標"/>
    <w:basedOn w:val="a"/>
    <w:pPr>
      <w:adjustRightInd w:val="0"/>
      <w:spacing w:line="360" w:lineRule="auto"/>
      <w:jc w:val="center"/>
      <w:textAlignment w:val="baseline"/>
    </w:pPr>
    <w:rPr>
      <w:rFonts w:eastAsia="華康中楷體"/>
      <w:spacing w:val="4"/>
      <w:kern w:val="0"/>
      <w:sz w:val="28"/>
    </w:rPr>
  </w:style>
  <w:style w:type="paragraph" w:styleId="a4">
    <w:name w:val="Body Text"/>
    <w:basedOn w:val="a"/>
    <w:pPr>
      <w:adjustRightInd w:val="0"/>
      <w:spacing w:line="200" w:lineRule="atLeast"/>
      <w:textAlignment w:val="baseline"/>
    </w:pPr>
    <w:rPr>
      <w:rFonts w:eastAsia="新細明體"/>
      <w:kern w:val="0"/>
      <w:sz w:val="17"/>
    </w:rPr>
  </w:style>
  <w:style w:type="paragraph" w:styleId="a5">
    <w:name w:val="footer"/>
    <w:basedOn w:val="a"/>
    <w:link w:val="a6"/>
    <w:uiPriority w:val="99"/>
    <w:pPr>
      <w:tabs>
        <w:tab w:val="center" w:pos="4153"/>
        <w:tab w:val="right" w:pos="8306"/>
      </w:tabs>
      <w:adjustRightInd w:val="0"/>
      <w:spacing w:line="360" w:lineRule="atLeast"/>
      <w:textAlignment w:val="baseline"/>
    </w:pPr>
    <w:rPr>
      <w:rFonts w:eastAsia="新細明體"/>
      <w:kern w:val="0"/>
      <w:sz w:val="20"/>
    </w:rPr>
  </w:style>
  <w:style w:type="paragraph" w:styleId="3">
    <w:name w:val="Body Text 3"/>
    <w:basedOn w:val="a"/>
    <w:pPr>
      <w:kinsoku w:val="0"/>
      <w:overflowPunct w:val="0"/>
      <w:adjustRightInd w:val="0"/>
      <w:spacing w:before="40" w:line="200" w:lineRule="atLeast"/>
      <w:jc w:val="both"/>
      <w:textAlignment w:val="baseline"/>
    </w:pPr>
    <w:rPr>
      <w:rFonts w:ascii="Garamond" w:hAnsi="Garamond"/>
      <w:kern w:val="0"/>
      <w:sz w:val="20"/>
    </w:rPr>
  </w:style>
  <w:style w:type="character" w:styleId="a7">
    <w:name w:val="page number"/>
    <w:rPr>
      <w:rFonts w:ascii="新細明體" w:eastAsia="新細明體" w:hAnsi="新細明體"/>
    </w:rPr>
  </w:style>
  <w:style w:type="paragraph" w:styleId="a8">
    <w:name w:val="header"/>
    <w:basedOn w:val="a"/>
    <w:pPr>
      <w:tabs>
        <w:tab w:val="center" w:pos="4153"/>
        <w:tab w:val="right" w:pos="8306"/>
      </w:tabs>
      <w:snapToGrid w:val="0"/>
    </w:pPr>
    <w:rPr>
      <w:sz w:val="20"/>
    </w:rPr>
  </w:style>
  <w:style w:type="paragraph" w:styleId="a9">
    <w:name w:val="List Paragraph"/>
    <w:basedOn w:val="a"/>
    <w:uiPriority w:val="34"/>
    <w:qFormat/>
    <w:rsid w:val="002C5F81"/>
    <w:pPr>
      <w:ind w:leftChars="200" w:left="480"/>
    </w:pPr>
  </w:style>
  <w:style w:type="character" w:customStyle="1" w:styleId="a6">
    <w:name w:val="頁尾 字元"/>
    <w:basedOn w:val="a0"/>
    <w:link w:val="a5"/>
    <w:uiPriority w:val="99"/>
    <w:rsid w:val="00F65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4"/>
    </w:rPr>
  </w:style>
  <w:style w:type="paragraph" w:styleId="1">
    <w:name w:val="heading 1"/>
    <w:basedOn w:val="a"/>
    <w:next w:val="a"/>
    <w:qFormat/>
    <w:pPr>
      <w:keepNext/>
      <w:snapToGrid w:val="0"/>
      <w:spacing w:line="240" w:lineRule="exact"/>
      <w:ind w:left="113" w:right="113"/>
      <w:outlineLvl w:val="0"/>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標"/>
    <w:basedOn w:val="a"/>
    <w:pPr>
      <w:adjustRightInd w:val="0"/>
      <w:spacing w:line="360" w:lineRule="auto"/>
      <w:jc w:val="center"/>
      <w:textAlignment w:val="baseline"/>
    </w:pPr>
    <w:rPr>
      <w:rFonts w:eastAsia="華康中楷體"/>
      <w:spacing w:val="4"/>
      <w:kern w:val="0"/>
      <w:sz w:val="28"/>
    </w:rPr>
  </w:style>
  <w:style w:type="paragraph" w:styleId="a4">
    <w:name w:val="Body Text"/>
    <w:basedOn w:val="a"/>
    <w:pPr>
      <w:adjustRightInd w:val="0"/>
      <w:spacing w:line="200" w:lineRule="atLeast"/>
      <w:textAlignment w:val="baseline"/>
    </w:pPr>
    <w:rPr>
      <w:rFonts w:eastAsia="新細明體"/>
      <w:kern w:val="0"/>
      <w:sz w:val="17"/>
    </w:rPr>
  </w:style>
  <w:style w:type="paragraph" w:styleId="a5">
    <w:name w:val="footer"/>
    <w:basedOn w:val="a"/>
    <w:link w:val="a6"/>
    <w:uiPriority w:val="99"/>
    <w:pPr>
      <w:tabs>
        <w:tab w:val="center" w:pos="4153"/>
        <w:tab w:val="right" w:pos="8306"/>
      </w:tabs>
      <w:adjustRightInd w:val="0"/>
      <w:spacing w:line="360" w:lineRule="atLeast"/>
      <w:textAlignment w:val="baseline"/>
    </w:pPr>
    <w:rPr>
      <w:rFonts w:eastAsia="新細明體"/>
      <w:kern w:val="0"/>
      <w:sz w:val="20"/>
    </w:rPr>
  </w:style>
  <w:style w:type="paragraph" w:styleId="3">
    <w:name w:val="Body Text 3"/>
    <w:basedOn w:val="a"/>
    <w:pPr>
      <w:kinsoku w:val="0"/>
      <w:overflowPunct w:val="0"/>
      <w:adjustRightInd w:val="0"/>
      <w:spacing w:before="40" w:line="200" w:lineRule="atLeast"/>
      <w:jc w:val="both"/>
      <w:textAlignment w:val="baseline"/>
    </w:pPr>
    <w:rPr>
      <w:rFonts w:ascii="Garamond" w:hAnsi="Garamond"/>
      <w:kern w:val="0"/>
      <w:sz w:val="20"/>
    </w:rPr>
  </w:style>
  <w:style w:type="character" w:styleId="a7">
    <w:name w:val="page number"/>
    <w:rPr>
      <w:rFonts w:ascii="新細明體" w:eastAsia="新細明體" w:hAnsi="新細明體"/>
    </w:rPr>
  </w:style>
  <w:style w:type="paragraph" w:styleId="a8">
    <w:name w:val="header"/>
    <w:basedOn w:val="a"/>
    <w:pPr>
      <w:tabs>
        <w:tab w:val="center" w:pos="4153"/>
        <w:tab w:val="right" w:pos="8306"/>
      </w:tabs>
      <w:snapToGrid w:val="0"/>
    </w:pPr>
    <w:rPr>
      <w:sz w:val="20"/>
    </w:rPr>
  </w:style>
  <w:style w:type="paragraph" w:styleId="a9">
    <w:name w:val="List Paragraph"/>
    <w:basedOn w:val="a"/>
    <w:uiPriority w:val="34"/>
    <w:qFormat/>
    <w:rsid w:val="002C5F81"/>
    <w:pPr>
      <w:ind w:leftChars="200" w:left="480"/>
    </w:pPr>
  </w:style>
  <w:style w:type="character" w:customStyle="1" w:styleId="a6">
    <w:name w:val="頁尾 字元"/>
    <w:basedOn w:val="a0"/>
    <w:link w:val="a5"/>
    <w:uiPriority w:val="99"/>
    <w:rsid w:val="00F6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571</Words>
  <Characters>3256</Characters>
  <Application>Microsoft Office Word</Application>
  <DocSecurity>0</DocSecurity>
  <Lines>27</Lines>
  <Paragraphs>7</Paragraphs>
  <ScaleCrop>false</ScaleCrop>
  <Company>ITRI</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石油開發技術研究發展計畫會計科目與編列原則</dc:title>
  <dc:creator>ITRI</dc:creator>
  <cp:lastModifiedBy>Fang-Hsuan Lee 李芳萱</cp:lastModifiedBy>
  <cp:revision>2</cp:revision>
  <cp:lastPrinted>2006-04-12T03:55:00Z</cp:lastPrinted>
  <dcterms:created xsi:type="dcterms:W3CDTF">2025-04-08T08:04:00Z</dcterms:created>
  <dcterms:modified xsi:type="dcterms:W3CDTF">2025-04-08T08:04:00Z</dcterms:modified>
</cp:coreProperties>
</file>