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6123" w14:textId="02928360" w:rsidR="007833B2" w:rsidRPr="006A1E48" w:rsidRDefault="00A669CD" w:rsidP="00A669CD">
      <w:pPr>
        <w:widowControl/>
        <w:adjustRightInd w:val="0"/>
        <w:snapToGrid w:val="0"/>
        <w:spacing w:line="460" w:lineRule="exact"/>
        <w:ind w:left="2242" w:hangingChars="700" w:hanging="2242"/>
        <w:rPr>
          <w:rFonts w:ascii="Times New Roman" w:eastAsia="標楷體" w:hAnsi="標楷體"/>
          <w:b/>
          <w:kern w:val="0"/>
          <w:sz w:val="32"/>
          <w:szCs w:val="32"/>
          <w:highlight w:val="yellow"/>
        </w:rPr>
      </w:pPr>
      <w:r>
        <w:rPr>
          <w:rFonts w:ascii="Times New Roman" w:eastAsia="標楷體" w:hAnsi="標楷體" w:hint="eastAsia"/>
          <w:b/>
          <w:kern w:val="0"/>
          <w:sz w:val="32"/>
          <w:szCs w:val="32"/>
        </w:rPr>
        <w:t>第七條</w:t>
      </w:r>
      <w:r w:rsidR="007833B2" w:rsidRPr="006A1E48">
        <w:rPr>
          <w:rFonts w:ascii="Times New Roman" w:eastAsia="標楷體" w:hAnsi="標楷體"/>
          <w:b/>
          <w:kern w:val="0"/>
          <w:sz w:val="32"/>
          <w:szCs w:val="32"/>
        </w:rPr>
        <w:t>附表</w:t>
      </w:r>
      <w:r w:rsidR="007833B2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二</w:t>
      </w:r>
      <w:r>
        <w:rPr>
          <w:rFonts w:ascii="Times New Roman" w:eastAsia="標楷體" w:hAnsi="標楷體" w:hint="eastAsia"/>
          <w:b/>
          <w:kern w:val="0"/>
          <w:sz w:val="32"/>
          <w:szCs w:val="32"/>
        </w:rPr>
        <w:t xml:space="preserve">  </w:t>
      </w:r>
      <w:r w:rsidR="007833B2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電力</w:t>
      </w:r>
      <w:r w:rsidR="007833B2" w:rsidRPr="006A1E48">
        <w:rPr>
          <w:rFonts w:ascii="Times New Roman" w:eastAsia="標楷體" w:hAnsi="標楷體"/>
          <w:b/>
          <w:kern w:val="0"/>
          <w:sz w:val="32"/>
          <w:szCs w:val="32"/>
        </w:rPr>
        <w:t>類</w:t>
      </w:r>
      <w:r w:rsidR="007833B2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或汽電共生類製程技術項目應符合之最佳可行技術</w:t>
      </w:r>
    </w:p>
    <w:p w14:paraId="022C6046" w14:textId="77777777" w:rsidR="007833B2" w:rsidRDefault="007833B2" w:rsidP="007833B2">
      <w:pPr>
        <w:widowControl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一、電力類：</w:t>
      </w:r>
    </w:p>
    <w:p w14:paraId="7B7607E9" w14:textId="77777777" w:rsidR="007833B2" w:rsidRDefault="007833B2" w:rsidP="007833B2">
      <w:pPr>
        <w:widowControl/>
        <w:snapToGrid w:val="0"/>
        <w:spacing w:after="180" w:line="460" w:lineRule="exact"/>
        <w:ind w:firstLine="560"/>
        <w:jc w:val="both"/>
      </w:pPr>
      <w:r>
        <w:rPr>
          <w:rFonts w:ascii="Times New Roman" w:eastAsia="標楷體" w:hAnsi="Times New Roman"/>
          <w:sz w:val="28"/>
          <w:szCs w:val="28"/>
        </w:rPr>
        <w:t>應符合下列歐盟「</w:t>
      </w:r>
      <w:r>
        <w:rPr>
          <w:rFonts w:ascii="Times New Roman" w:eastAsia="標楷體" w:hAnsi="Times New Roman"/>
          <w:kern w:val="0"/>
          <w:sz w:val="28"/>
          <w:szCs w:val="28"/>
        </w:rPr>
        <w:t>大型燃燒廠</w:t>
      </w:r>
      <w:r>
        <w:rPr>
          <w:rFonts w:ascii="Times New Roman" w:eastAsia="標楷體" w:hAnsi="Times New Roman"/>
          <w:sz w:val="28"/>
          <w:szCs w:val="28"/>
        </w:rPr>
        <w:t>最佳可行技術參考文件（</w:t>
      </w:r>
      <w:r>
        <w:rPr>
          <w:rFonts w:ascii="Times New Roman" w:eastAsia="標楷體" w:hAnsi="Times New Roman"/>
          <w:sz w:val="28"/>
          <w:szCs w:val="28"/>
        </w:rPr>
        <w:t xml:space="preserve">Reference Document on Best Available Techniques for </w:t>
      </w:r>
      <w:hyperlink r:id="rId6" w:history="1">
        <w:r>
          <w:rPr>
            <w:rFonts w:ascii="Times New Roman" w:eastAsia="標楷體" w:hAnsi="Times New Roman"/>
            <w:kern w:val="0"/>
            <w:sz w:val="28"/>
            <w:szCs w:val="28"/>
          </w:rPr>
          <w:t>Large Combustion Plants</w:t>
        </w:r>
      </w:hyperlink>
      <w:r>
        <w:rPr>
          <w:rFonts w:ascii="Times New Roman" w:eastAsia="標楷體" w:hAnsi="Times New Roman"/>
          <w:sz w:val="28"/>
          <w:szCs w:val="28"/>
        </w:rPr>
        <w:t>）」適用版本所列示「</w:t>
      </w:r>
      <w:r>
        <w:rPr>
          <w:rFonts w:ascii="Times New Roman" w:eastAsia="標楷體" w:hAnsi="Times New Roman"/>
          <w:kern w:val="0"/>
          <w:sz w:val="28"/>
          <w:szCs w:val="24"/>
        </w:rPr>
        <w:t>新設廠（</w:t>
      </w:r>
      <w:r>
        <w:rPr>
          <w:rFonts w:ascii="Times New Roman" w:eastAsia="標楷體" w:hAnsi="Times New Roman"/>
          <w:kern w:val="0"/>
          <w:sz w:val="28"/>
          <w:szCs w:val="24"/>
        </w:rPr>
        <w:t>New plants</w:t>
      </w:r>
      <w:r>
        <w:rPr>
          <w:rFonts w:ascii="Times New Roman" w:eastAsia="標楷體" w:hAnsi="Times New Roman"/>
          <w:kern w:val="0"/>
          <w:sz w:val="28"/>
          <w:szCs w:val="24"/>
        </w:rPr>
        <w:t>）</w:t>
      </w:r>
      <w:r>
        <w:rPr>
          <w:rFonts w:ascii="Times New Roman" w:eastAsia="標楷體" w:hAnsi="Times New Roman"/>
          <w:sz w:val="28"/>
          <w:szCs w:val="28"/>
        </w:rPr>
        <w:t>」</w:t>
      </w:r>
      <w:r>
        <w:rPr>
          <w:rFonts w:ascii="Times New Roman" w:eastAsia="標楷體" w:hAnsi="Times New Roman"/>
          <w:kern w:val="0"/>
          <w:sz w:val="28"/>
          <w:szCs w:val="24"/>
        </w:rPr>
        <w:t>或</w:t>
      </w:r>
      <w:r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/>
          <w:kern w:val="0"/>
          <w:sz w:val="28"/>
          <w:szCs w:val="24"/>
        </w:rPr>
        <w:t>新設備（</w:t>
      </w:r>
      <w:r>
        <w:rPr>
          <w:rFonts w:ascii="Times New Roman" w:eastAsia="標楷體" w:hAnsi="Times New Roman"/>
          <w:kern w:val="0"/>
          <w:sz w:val="28"/>
          <w:szCs w:val="24"/>
        </w:rPr>
        <w:t>New installations</w:t>
      </w:r>
      <w:r>
        <w:rPr>
          <w:rFonts w:ascii="Times New Roman" w:eastAsia="標楷體" w:hAnsi="Times New Roman"/>
          <w:kern w:val="0"/>
          <w:sz w:val="28"/>
          <w:szCs w:val="24"/>
        </w:rPr>
        <w:t>）</w:t>
      </w:r>
      <w:r>
        <w:rPr>
          <w:rFonts w:ascii="Times New Roman" w:eastAsia="標楷體" w:hAnsi="Times New Roman"/>
          <w:sz w:val="28"/>
          <w:szCs w:val="28"/>
        </w:rPr>
        <w:t>」能源效率相關製程技術項目之內容及效率值。</w:t>
      </w:r>
    </w:p>
    <w:tbl>
      <w:tblPr>
        <w:tblW w:w="8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2734"/>
      </w:tblGrid>
      <w:tr w:rsidR="007833B2" w14:paraId="4398900B" w14:textId="77777777" w:rsidTr="00A421EC">
        <w:trPr>
          <w:trHeight w:val="527"/>
          <w:tblHeader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7579" w14:textId="77777777" w:rsidR="007833B2" w:rsidRDefault="007833B2" w:rsidP="00A421EC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行業別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「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最佳可行技術參考文件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」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8F3A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適用版本</w:t>
            </w:r>
          </w:p>
        </w:tc>
      </w:tr>
      <w:tr w:rsidR="007833B2" w14:paraId="1C08E113" w14:textId="77777777" w:rsidTr="00A421EC">
        <w:trPr>
          <w:trHeight w:val="345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C605" w14:textId="77777777" w:rsidR="007833B2" w:rsidRDefault="007833B2" w:rsidP="00A421EC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大型燃燒廠</w:t>
            </w:r>
          </w:p>
          <w:p w14:paraId="39EB875B" w14:textId="77777777" w:rsidR="007833B2" w:rsidRDefault="00000000" w:rsidP="00A421EC">
            <w:pPr>
              <w:widowControl/>
              <w:snapToGrid w:val="0"/>
            </w:pPr>
            <w:hyperlink r:id="rId7" w:history="1">
              <w:r w:rsidR="007833B2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Large Combustion Plants</w:t>
              </w:r>
            </w:hyperlink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8A39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BREF</w:t>
            </w:r>
          </w:p>
          <w:p w14:paraId="78277037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jc w:val="center"/>
            </w:pPr>
            <w:r>
              <w:rPr>
                <w:rFonts w:ascii="Times New Roman" w:hAnsi="Times New Roman"/>
                <w:color w:val="000000"/>
              </w:rPr>
              <w:t>BATC(12.2021)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</w:tr>
    </w:tbl>
    <w:p w14:paraId="1BAF4961" w14:textId="77777777" w:rsidR="007833B2" w:rsidRDefault="007833B2" w:rsidP="007833B2">
      <w:pPr>
        <w:widowControl/>
        <w:snapToGrid w:val="0"/>
        <w:spacing w:after="180"/>
        <w:ind w:left="424" w:hanging="422"/>
        <w:jc w:val="both"/>
      </w:pPr>
      <w:bookmarkStart w:id="0" w:name="_Hlk93495589"/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：</w:t>
      </w:r>
      <w:r>
        <w:rPr>
          <w:rFonts w:ascii="Times New Roman" w:eastAsia="標楷體" w:hAnsi="Times New Roman"/>
          <w:color w:val="000000"/>
          <w:kern w:val="0"/>
          <w:szCs w:val="24"/>
        </w:rPr>
        <w:t>BREF</w:t>
      </w:r>
      <w:r>
        <w:rPr>
          <w:rFonts w:ascii="Times New Roman" w:eastAsia="標楷體" w:hAnsi="Times New Roman"/>
          <w:color w:val="000000"/>
          <w:kern w:val="0"/>
          <w:szCs w:val="24"/>
        </w:rPr>
        <w:t>係指歐盟「工業排放指令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Directive 2010/75 on industrial emissions</w:t>
      </w:r>
      <w:r>
        <w:rPr>
          <w:rFonts w:ascii="Times New Roman" w:eastAsia="標楷體" w:hAnsi="Times New Roman"/>
          <w:color w:val="000000"/>
          <w:kern w:val="0"/>
          <w:szCs w:val="24"/>
        </w:rPr>
        <w:t>；簡稱</w:t>
      </w:r>
      <w:r>
        <w:rPr>
          <w:rFonts w:ascii="Times New Roman" w:eastAsia="標楷體" w:hAnsi="Times New Roman"/>
          <w:color w:val="000000"/>
          <w:kern w:val="0"/>
          <w:szCs w:val="24"/>
        </w:rPr>
        <w:t>IED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」最佳可行技術參考文件系列（</w:t>
      </w:r>
      <w:r>
        <w:rPr>
          <w:rFonts w:ascii="Times New Roman" w:eastAsia="標楷體" w:hAnsi="Times New Roman"/>
          <w:color w:val="000000"/>
          <w:kern w:val="0"/>
          <w:szCs w:val="24"/>
        </w:rPr>
        <w:t>Best Available Techniques Reference Documents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r>
        <w:rPr>
          <w:rFonts w:ascii="Times New Roman" w:eastAsia="標楷體" w:hAnsi="Times New Roman"/>
          <w:color w:val="000000"/>
          <w:szCs w:val="28"/>
        </w:rPr>
        <w:t>；</w:t>
      </w:r>
      <w:r>
        <w:rPr>
          <w:rFonts w:ascii="Times New Roman" w:eastAsia="標楷體" w:hAnsi="Times New Roman"/>
          <w:color w:val="000000"/>
          <w:kern w:val="0"/>
          <w:szCs w:val="28"/>
        </w:rPr>
        <w:t>BATC</w:t>
      </w:r>
      <w:r>
        <w:rPr>
          <w:rFonts w:ascii="Times New Roman" w:eastAsia="標楷體" w:hAnsi="Times New Roman"/>
          <w:color w:val="000000"/>
          <w:kern w:val="0"/>
          <w:szCs w:val="24"/>
        </w:rPr>
        <w:t>（</w:t>
      </w:r>
      <w:r>
        <w:rPr>
          <w:rFonts w:ascii="Times New Roman" w:eastAsia="標楷體" w:hAnsi="Times New Roman"/>
          <w:color w:val="000000"/>
          <w:kern w:val="0"/>
          <w:szCs w:val="24"/>
        </w:rPr>
        <w:t>12.</w:t>
      </w:r>
      <w:r>
        <w:rPr>
          <w:rFonts w:ascii="Times New Roman" w:eastAsia="標楷體" w:hAnsi="Times New Roman"/>
          <w:color w:val="000000"/>
          <w:kern w:val="0"/>
          <w:szCs w:val="28"/>
        </w:rPr>
        <w:t>2021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r>
        <w:rPr>
          <w:rFonts w:ascii="Times New Roman" w:eastAsia="標楷體" w:hAnsi="Times New Roman"/>
          <w:color w:val="000000"/>
          <w:kern w:val="0"/>
          <w:szCs w:val="28"/>
        </w:rPr>
        <w:t>係指</w:t>
      </w:r>
      <w:r>
        <w:rPr>
          <w:rFonts w:ascii="Times New Roman" w:eastAsia="標楷體" w:hAnsi="Times New Roman"/>
          <w:color w:val="000000"/>
          <w:kern w:val="0"/>
          <w:szCs w:val="28"/>
        </w:rPr>
        <w:t>2021</w:t>
      </w:r>
      <w:r>
        <w:rPr>
          <w:rFonts w:ascii="Times New Roman" w:eastAsia="標楷體" w:hAnsi="Times New Roman"/>
          <w:color w:val="000000"/>
          <w:kern w:val="0"/>
          <w:szCs w:val="28"/>
        </w:rPr>
        <w:t>年之版本</w:t>
      </w:r>
      <w:r>
        <w:rPr>
          <w:rFonts w:ascii="Times New Roman" w:eastAsia="標楷體" w:hAnsi="Times New Roman"/>
          <w:szCs w:val="28"/>
        </w:rPr>
        <w:t>。</w:t>
      </w:r>
    </w:p>
    <w:bookmarkEnd w:id="0"/>
    <w:p w14:paraId="2E9EDFE9" w14:textId="77777777" w:rsidR="007833B2" w:rsidRDefault="007833B2" w:rsidP="007833B2">
      <w:pPr>
        <w:widowControl/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二、汽電共生類：</w:t>
      </w:r>
    </w:p>
    <w:p w14:paraId="2000C709" w14:textId="77777777" w:rsidR="007833B2" w:rsidRDefault="007833B2" w:rsidP="007833B2">
      <w:pPr>
        <w:widowControl/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（一）應符合歐盟相同行業「最佳可行技術參考文件」關於汽電共生之內容。</w:t>
      </w:r>
    </w:p>
    <w:p w14:paraId="58E0727E" w14:textId="77777777" w:rsidR="007833B2" w:rsidRDefault="007833B2" w:rsidP="007833B2">
      <w:pPr>
        <w:widowControl/>
        <w:snapToGrid w:val="0"/>
        <w:spacing w:after="180" w:line="460" w:lineRule="exact"/>
        <w:ind w:left="840" w:hanging="840"/>
        <w:jc w:val="both"/>
      </w:pPr>
      <w:r>
        <w:rPr>
          <w:rFonts w:ascii="Times New Roman" w:eastAsia="標楷體" w:hAnsi="Times New Roman"/>
          <w:sz w:val="28"/>
          <w:szCs w:val="28"/>
        </w:rPr>
        <w:t>（二）無前項者，應符合下列歐盟「大型燃燒廠最佳可行技術參考文件（</w:t>
      </w:r>
      <w:r>
        <w:rPr>
          <w:rFonts w:ascii="Times New Roman" w:eastAsia="標楷體" w:hAnsi="Times New Roman"/>
          <w:sz w:val="28"/>
          <w:szCs w:val="28"/>
        </w:rPr>
        <w:t xml:space="preserve">Reference Document on Best Available Techniques for </w:t>
      </w:r>
      <w:hyperlink r:id="rId8" w:history="1">
        <w:r>
          <w:rPr>
            <w:rFonts w:ascii="Times New Roman" w:eastAsia="標楷體" w:hAnsi="Times New Roman"/>
            <w:kern w:val="0"/>
            <w:sz w:val="28"/>
            <w:szCs w:val="28"/>
          </w:rPr>
          <w:t>Large Combustion Plants</w:t>
        </w:r>
      </w:hyperlink>
      <w:r>
        <w:rPr>
          <w:rFonts w:ascii="Times New Roman" w:eastAsia="標楷體" w:hAnsi="Times New Roman"/>
          <w:sz w:val="28"/>
          <w:szCs w:val="28"/>
        </w:rPr>
        <w:t>）」適用版本所列示「</w:t>
      </w:r>
      <w:r>
        <w:rPr>
          <w:rFonts w:ascii="Times New Roman" w:eastAsia="標楷體" w:hAnsi="Times New Roman"/>
          <w:kern w:val="0"/>
          <w:sz w:val="28"/>
          <w:szCs w:val="24"/>
        </w:rPr>
        <w:t>新設廠（</w:t>
      </w:r>
      <w:r>
        <w:rPr>
          <w:rFonts w:ascii="Times New Roman" w:eastAsia="標楷體" w:hAnsi="Times New Roman"/>
          <w:kern w:val="0"/>
          <w:sz w:val="28"/>
          <w:szCs w:val="24"/>
        </w:rPr>
        <w:t>New plants</w:t>
      </w:r>
      <w:r>
        <w:rPr>
          <w:rFonts w:ascii="Times New Roman" w:eastAsia="標楷體" w:hAnsi="Times New Roman"/>
          <w:kern w:val="0"/>
          <w:sz w:val="28"/>
          <w:szCs w:val="24"/>
        </w:rPr>
        <w:t>）</w:t>
      </w:r>
      <w:r>
        <w:rPr>
          <w:rFonts w:ascii="Times New Roman" w:eastAsia="標楷體" w:hAnsi="Times New Roman"/>
          <w:sz w:val="28"/>
          <w:szCs w:val="28"/>
        </w:rPr>
        <w:t>」</w:t>
      </w:r>
      <w:r>
        <w:rPr>
          <w:rFonts w:ascii="Times New Roman" w:eastAsia="標楷體" w:hAnsi="Times New Roman"/>
          <w:kern w:val="0"/>
          <w:sz w:val="28"/>
          <w:szCs w:val="24"/>
        </w:rPr>
        <w:t>或</w:t>
      </w:r>
      <w:r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/>
          <w:kern w:val="0"/>
          <w:sz w:val="28"/>
          <w:szCs w:val="24"/>
        </w:rPr>
        <w:t>新設備（</w:t>
      </w:r>
      <w:r>
        <w:rPr>
          <w:rFonts w:ascii="Times New Roman" w:eastAsia="標楷體" w:hAnsi="Times New Roman"/>
          <w:kern w:val="0"/>
          <w:sz w:val="28"/>
          <w:szCs w:val="24"/>
        </w:rPr>
        <w:t>New installations</w:t>
      </w:r>
      <w:r>
        <w:rPr>
          <w:rFonts w:ascii="Times New Roman" w:eastAsia="標楷體" w:hAnsi="Times New Roman"/>
          <w:kern w:val="0"/>
          <w:sz w:val="28"/>
          <w:szCs w:val="24"/>
        </w:rPr>
        <w:t>）</w:t>
      </w:r>
      <w:r>
        <w:rPr>
          <w:rFonts w:ascii="Times New Roman" w:eastAsia="標楷體" w:hAnsi="Times New Roman"/>
          <w:sz w:val="28"/>
          <w:szCs w:val="28"/>
        </w:rPr>
        <w:t>」能源效率相關之製程技術項目之內容及效率值。</w:t>
      </w:r>
    </w:p>
    <w:tbl>
      <w:tblPr>
        <w:tblW w:w="8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2"/>
        <w:gridCol w:w="2713"/>
      </w:tblGrid>
      <w:tr w:rsidR="007833B2" w14:paraId="36F502B8" w14:textId="77777777" w:rsidTr="00A421EC">
        <w:trPr>
          <w:trHeight w:val="527"/>
          <w:tblHeader/>
          <w:jc w:val="center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3DE4" w14:textId="77777777" w:rsidR="007833B2" w:rsidRDefault="007833B2" w:rsidP="00A421EC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行業別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「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最佳可行技術參考文件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」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1FCE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適用版本</w:t>
            </w:r>
          </w:p>
        </w:tc>
      </w:tr>
      <w:tr w:rsidR="007833B2" w14:paraId="2767DB22" w14:textId="77777777" w:rsidTr="00A421EC">
        <w:trPr>
          <w:trHeight w:val="345"/>
          <w:jc w:val="center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15C" w14:textId="77777777" w:rsidR="007833B2" w:rsidRDefault="007833B2" w:rsidP="00A421EC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大型燃燒廠</w:t>
            </w:r>
          </w:p>
          <w:p w14:paraId="7EEAC26D" w14:textId="77777777" w:rsidR="007833B2" w:rsidRDefault="00000000" w:rsidP="00A421EC">
            <w:pPr>
              <w:widowControl/>
              <w:snapToGrid w:val="0"/>
              <w:spacing w:line="400" w:lineRule="exact"/>
            </w:pPr>
            <w:hyperlink r:id="rId9" w:history="1">
              <w:r w:rsidR="007833B2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Large Combustion Plants</w:t>
              </w:r>
            </w:hyperlink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C11E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BREF</w:t>
            </w:r>
          </w:p>
          <w:p w14:paraId="02CA5692" w14:textId="77777777" w:rsidR="007833B2" w:rsidRDefault="007833B2" w:rsidP="00A421EC">
            <w:pPr>
              <w:widowControl/>
              <w:tabs>
                <w:tab w:val="center" w:pos="585"/>
              </w:tabs>
              <w:snapToGrid w:val="0"/>
              <w:spacing w:line="400" w:lineRule="exact"/>
              <w:jc w:val="center"/>
            </w:pPr>
            <w:r>
              <w:rPr>
                <w:rFonts w:ascii="Times New Roman" w:hAnsi="Times New Roman"/>
                <w:color w:val="000000"/>
              </w:rPr>
              <w:t>BATC(12.2021)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</w:tr>
    </w:tbl>
    <w:p w14:paraId="564E74C1" w14:textId="77777777" w:rsidR="007833B2" w:rsidRDefault="007833B2" w:rsidP="007833B2">
      <w:pPr>
        <w:widowControl/>
        <w:snapToGrid w:val="0"/>
        <w:spacing w:after="180"/>
        <w:ind w:left="489" w:hanging="487"/>
        <w:jc w:val="both"/>
      </w:pP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：</w:t>
      </w:r>
      <w:r>
        <w:rPr>
          <w:rFonts w:ascii="Times New Roman" w:eastAsia="標楷體" w:hAnsi="Times New Roman"/>
          <w:color w:val="000000"/>
          <w:kern w:val="0"/>
          <w:szCs w:val="24"/>
        </w:rPr>
        <w:t>BREF</w:t>
      </w:r>
      <w:r>
        <w:rPr>
          <w:rFonts w:ascii="Times New Roman" w:eastAsia="標楷體" w:hAnsi="Times New Roman"/>
          <w:color w:val="000000"/>
          <w:kern w:val="0"/>
          <w:szCs w:val="24"/>
        </w:rPr>
        <w:t>係指歐盟「工業排放指令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Directive 2010/75 on industrial emissions</w:t>
      </w:r>
      <w:r>
        <w:rPr>
          <w:rFonts w:ascii="Times New Roman" w:eastAsia="標楷體" w:hAnsi="Times New Roman"/>
          <w:color w:val="000000"/>
          <w:kern w:val="0"/>
          <w:szCs w:val="24"/>
        </w:rPr>
        <w:t>；簡稱</w:t>
      </w:r>
      <w:r>
        <w:rPr>
          <w:rFonts w:ascii="Times New Roman" w:eastAsia="標楷體" w:hAnsi="Times New Roman"/>
          <w:color w:val="000000"/>
          <w:kern w:val="0"/>
          <w:szCs w:val="24"/>
        </w:rPr>
        <w:t>IED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」最佳可行技術參考文件系列（</w:t>
      </w:r>
      <w:r>
        <w:rPr>
          <w:rFonts w:ascii="Times New Roman" w:eastAsia="標楷體" w:hAnsi="Times New Roman"/>
          <w:color w:val="000000"/>
          <w:kern w:val="0"/>
          <w:szCs w:val="24"/>
        </w:rPr>
        <w:t>Best Available Techniques Reference Documents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r>
        <w:rPr>
          <w:rFonts w:ascii="Times New Roman" w:eastAsia="標楷體" w:hAnsi="Times New Roman"/>
          <w:color w:val="000000"/>
          <w:szCs w:val="28"/>
        </w:rPr>
        <w:t>；</w:t>
      </w:r>
      <w:r>
        <w:rPr>
          <w:rFonts w:ascii="Times New Roman" w:eastAsia="標楷體" w:hAnsi="Times New Roman"/>
          <w:color w:val="000000"/>
          <w:kern w:val="0"/>
          <w:szCs w:val="28"/>
        </w:rPr>
        <w:t>BATC</w:t>
      </w:r>
      <w:r>
        <w:rPr>
          <w:rFonts w:ascii="Times New Roman" w:eastAsia="標楷體" w:hAnsi="Times New Roman"/>
          <w:color w:val="000000"/>
          <w:kern w:val="0"/>
          <w:szCs w:val="24"/>
        </w:rPr>
        <w:t>（</w:t>
      </w:r>
      <w:r>
        <w:rPr>
          <w:rFonts w:ascii="Times New Roman" w:eastAsia="標楷體" w:hAnsi="Times New Roman"/>
          <w:color w:val="000000"/>
          <w:kern w:val="0"/>
          <w:szCs w:val="24"/>
        </w:rPr>
        <w:t>12.</w:t>
      </w:r>
      <w:r>
        <w:rPr>
          <w:rFonts w:ascii="Times New Roman" w:eastAsia="標楷體" w:hAnsi="Times New Roman"/>
          <w:color w:val="000000"/>
          <w:kern w:val="0"/>
          <w:szCs w:val="28"/>
        </w:rPr>
        <w:t>2021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  <w:r>
        <w:rPr>
          <w:rFonts w:ascii="Times New Roman" w:eastAsia="標楷體" w:hAnsi="Times New Roman"/>
          <w:color w:val="000000"/>
          <w:kern w:val="0"/>
          <w:szCs w:val="28"/>
        </w:rPr>
        <w:t>係指</w:t>
      </w:r>
      <w:r>
        <w:rPr>
          <w:rFonts w:ascii="Times New Roman" w:eastAsia="標楷體" w:hAnsi="Times New Roman"/>
          <w:color w:val="000000"/>
          <w:kern w:val="0"/>
          <w:szCs w:val="28"/>
        </w:rPr>
        <w:t>2021</w:t>
      </w:r>
      <w:r>
        <w:rPr>
          <w:rFonts w:ascii="Times New Roman" w:eastAsia="標楷體" w:hAnsi="Times New Roman"/>
          <w:color w:val="000000"/>
          <w:kern w:val="0"/>
          <w:szCs w:val="28"/>
        </w:rPr>
        <w:t>年之版本</w:t>
      </w:r>
      <w:r>
        <w:rPr>
          <w:rFonts w:ascii="Times New Roman" w:eastAsia="標楷體" w:hAnsi="Times New Roman"/>
          <w:color w:val="000000"/>
          <w:szCs w:val="28"/>
        </w:rPr>
        <w:t>。</w:t>
      </w:r>
    </w:p>
    <w:p w14:paraId="1AE1F2F2" w14:textId="77777777" w:rsidR="007833B2" w:rsidRDefault="007833B2" w:rsidP="007833B2">
      <w:pPr>
        <w:widowControl/>
        <w:snapToGrid w:val="0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（三）前項參考文件，表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所載說明（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）修正為：「因臺灣本土條件、運轉模式設計差異等因素之影響，能源效率除（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外，下限值可酌予再降低。」；說明（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）不予適用。</w:t>
      </w:r>
    </w:p>
    <w:p w14:paraId="27E6F431" w14:textId="77777777" w:rsidR="007200C0" w:rsidRDefault="007200C0"/>
    <w:sectPr w:rsidR="007200C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71B1" w14:textId="77777777" w:rsidR="007E58DA" w:rsidRDefault="007E58DA" w:rsidP="007833B2">
      <w:r>
        <w:separator/>
      </w:r>
    </w:p>
  </w:endnote>
  <w:endnote w:type="continuationSeparator" w:id="0">
    <w:p w14:paraId="38486C34" w14:textId="77777777" w:rsidR="007E58DA" w:rsidRDefault="007E58DA" w:rsidP="007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94E" w14:textId="08FE4DC3" w:rsidR="007833B2" w:rsidRDefault="007833B2" w:rsidP="007833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A234" w14:textId="77777777" w:rsidR="007E58DA" w:rsidRDefault="007E58DA" w:rsidP="007833B2">
      <w:r>
        <w:separator/>
      </w:r>
    </w:p>
  </w:footnote>
  <w:footnote w:type="continuationSeparator" w:id="0">
    <w:p w14:paraId="7D56786E" w14:textId="77777777" w:rsidR="007E58DA" w:rsidRDefault="007E58DA" w:rsidP="0078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2"/>
    <w:rsid w:val="007200C0"/>
    <w:rsid w:val="007833B2"/>
    <w:rsid w:val="007E58DA"/>
    <w:rsid w:val="00A669CD"/>
    <w:rsid w:val="00E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98D2D"/>
  <w15:chartTrackingRefBased/>
  <w15:docId w15:val="{669D46F3-94B8-4DAE-A912-D9DEAEF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3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3B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ppcb.jrc.ec.europa.eu/reference/lc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ippcb.jrc.ec.europa.eu/reference/lcp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ppcb.jrc.ec.europa.eu/reference/lcp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ippcb.jrc.ec.europa.eu/reference/lcp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梁雅涵</dc:creator>
  <cp:keywords/>
  <dc:description/>
  <cp:lastModifiedBy>梁雅涵</cp:lastModifiedBy>
  <cp:revision>2</cp:revision>
  <dcterms:created xsi:type="dcterms:W3CDTF">2023-04-19T07:06:00Z</dcterms:created>
  <dcterms:modified xsi:type="dcterms:W3CDTF">2023-04-20T01:32:00Z</dcterms:modified>
</cp:coreProperties>
</file>