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A06073" w:rsidRDefault="00A06073" w:rsidP="00A06073">
      <w:pPr>
        <w:spacing w:after="120"/>
        <w:jc w:val="both"/>
        <w:rPr>
          <w:rFonts w:ascii="Times New Roman" w:eastAsia="標楷體" w:hAnsi="Times New Roman"/>
          <w:color w:val="000000" w:themeColor="text1"/>
          <w:szCs w:val="20"/>
        </w:rPr>
      </w:pPr>
      <w:bookmarkStart w:id="0" w:name="_Toc105815979"/>
      <w:bookmarkStart w:id="1" w:name="_Toc105902063"/>
      <w:bookmarkStart w:id="2" w:name="_Toc105815978"/>
      <w:bookmarkStart w:id="3" w:name="_Toc105902062"/>
      <w:r w:rsidRPr="00A06073">
        <w:rPr>
          <w:rFonts w:ascii="Times New Roman" w:eastAsia="標楷體" w:hAnsi="Times New Roman"/>
          <w:color w:val="000000" w:themeColor="text1"/>
          <w:szCs w:val="20"/>
        </w:rPr>
        <w:t>附表七</w:t>
      </w:r>
      <w:r w:rsidRPr="00A06073">
        <w:rPr>
          <w:rFonts w:ascii="Times New Roman" w:eastAsia="標楷體" w:hAnsi="Times New Roman"/>
          <w:color w:val="000000" w:themeColor="text1"/>
          <w:szCs w:val="20"/>
        </w:rPr>
        <w:t xml:space="preserve"> </w:t>
      </w:r>
      <w:r w:rsidRPr="00A06073">
        <w:rPr>
          <w:rFonts w:ascii="Times New Roman" w:eastAsia="標楷體" w:hAnsi="Times New Roman"/>
          <w:color w:val="000000" w:themeColor="text1"/>
          <w:szCs w:val="20"/>
        </w:rPr>
        <w:t>風力發電機組竣工查驗表</w:t>
      </w:r>
    </w:p>
    <w:tbl>
      <w:tblPr>
        <w:tblW w:w="9781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692"/>
        <w:gridCol w:w="708"/>
        <w:gridCol w:w="888"/>
        <w:gridCol w:w="2242"/>
      </w:tblGrid>
      <w:tr w:rsidR="00A06073" w:rsidRPr="00A06073" w:rsidTr="009F7363">
        <w:trPr>
          <w:trHeight w:val="260"/>
          <w:tblHeader/>
        </w:trPr>
        <w:tc>
          <w:tcPr>
            <w:tcW w:w="5251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查     驗</w:t>
            </w:r>
          </w:p>
        </w:tc>
        <w:tc>
          <w:tcPr>
            <w:tcW w:w="22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查驗結果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備註說明</w:t>
            </w:r>
          </w:p>
        </w:tc>
      </w:tr>
      <w:tr w:rsidR="00A06073" w:rsidRPr="00A06073" w:rsidTr="009F7363">
        <w:trPr>
          <w:trHeight w:val="230"/>
          <w:tblHeader/>
        </w:trPr>
        <w:tc>
          <w:tcPr>
            <w:tcW w:w="5251" w:type="dxa"/>
            <w:tcBorders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項     目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否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不適用</w:t>
            </w:r>
          </w:p>
        </w:tc>
        <w:tc>
          <w:tcPr>
            <w:tcW w:w="2242" w:type="dxa"/>
            <w:tcBorders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一、是否檢具下列相關合格文件</w:t>
            </w: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運轉、維護作業規範及程序書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590"/>
        </w:trPr>
        <w:tc>
          <w:tcPr>
            <w:tcW w:w="525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436" w:hanging="198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2.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125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tabs>
                <w:tab w:val="left" w:pos="1980"/>
              </w:tabs>
              <w:autoSpaceDN w:val="0"/>
              <w:spacing w:line="280" w:lineRule="exact"/>
              <w:ind w:firstLine="48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(1)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機組檢查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336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72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a.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接地檢查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295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864" w:hanging="144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b.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高壓電氣設備之安全距離設備狀況檢查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213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72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c.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避雷器設備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檢查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563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910" w:hanging="19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d.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風力機支持物設備檢查（塔架、塔內照明及爬梯防墜設施）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324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tabs>
                <w:tab w:val="left" w:pos="1980"/>
              </w:tabs>
              <w:autoSpaceDN w:val="0"/>
              <w:spacing w:line="280" w:lineRule="exact"/>
              <w:ind w:firstLine="48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(2)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電氣設備絕緣試驗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205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tabs>
                <w:tab w:val="left" w:pos="1980"/>
              </w:tabs>
              <w:autoSpaceDN w:val="0"/>
              <w:spacing w:line="280" w:lineRule="exact"/>
              <w:ind w:firstLine="48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(3)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併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聯試驗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309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tabs>
                <w:tab w:val="left" w:pos="1980"/>
              </w:tabs>
              <w:autoSpaceDN w:val="0"/>
              <w:spacing w:line="280" w:lineRule="exact"/>
              <w:ind w:firstLine="48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(4)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風力機組運轉中相關動作試驗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181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72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a.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遠距監視控制試驗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324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72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b.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自動起停試驗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因應風能無法控制，運轉中不一定可達成，故以提出廠家報告、文件或模擬試驗說明。</w:t>
            </w:r>
          </w:p>
        </w:tc>
      </w:tr>
      <w:tr w:rsidR="00A06073" w:rsidRPr="00A06073" w:rsidTr="009F7363">
        <w:trPr>
          <w:cantSplit/>
          <w:trHeight w:val="181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72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c.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噪音測定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312"/>
        </w:trPr>
        <w:tc>
          <w:tcPr>
            <w:tcW w:w="5251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480"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d.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防止風力機組獨立運轉裝置試驗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3.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開關場設備試運轉檢驗報告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napToGrid w:val="0"/>
              <w:spacing w:line="280" w:lineRule="exact"/>
              <w:ind w:left="312" w:hanging="300"/>
              <w:jc w:val="both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(1)含變壓器、斷路器、SF</w:t>
            </w:r>
            <w:r w:rsidRPr="00A06073"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0"/>
              </w:rPr>
              <w:t>氣封絕緣開關裝置、</w:t>
            </w:r>
            <w:proofErr w:type="gramStart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0"/>
              </w:rPr>
              <w:t>避雷器</w:t>
            </w:r>
            <w:proofErr w:type="gramEnd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0"/>
              </w:rPr>
              <w:t>、接地系統及蓄電池組等。</w:t>
            </w:r>
          </w:p>
          <w:p w:rsidR="00A06073" w:rsidRPr="00A06073" w:rsidRDefault="00A06073" w:rsidP="009F7363">
            <w:pPr>
              <w:autoSpaceDN w:val="0"/>
              <w:snapToGrid w:val="0"/>
              <w:spacing w:line="280" w:lineRule="exact"/>
              <w:ind w:left="312" w:hanging="300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(2)無開關</w:t>
            </w:r>
            <w:proofErr w:type="gramStart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場者免具</w:t>
            </w:r>
            <w:proofErr w:type="gramEnd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，另檢附配電盤設備檢查、斷路器相關試驗及變壓器試運轉檢驗報告。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4.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保護系統設備試運轉檢驗報告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</w:rPr>
              <w:t>含發電機組保護、變壓器保護、匯流排與斷路器保護及輸電線路保護等。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5.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電力電纜設備試運轉檢驗報告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480" w:hanging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6.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通信系統設備試運轉檢驗報告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7.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發電設備運轉異常檢修資料及紀錄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napToGrid w:val="0"/>
              <w:spacing w:line="280" w:lineRule="exact"/>
              <w:ind w:left="-2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當最大運轉量未達滿載運轉時，應說明風力可滿載運轉之相關文件。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8.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開關場設備運轉異常檢修資料及紀錄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napToGrid w:val="0"/>
              <w:spacing w:line="280" w:lineRule="exact"/>
              <w:ind w:left="-2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無開關</w:t>
            </w:r>
            <w:proofErr w:type="gramStart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場者免具</w:t>
            </w:r>
            <w:proofErr w:type="gramEnd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，另</w:t>
            </w: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lastRenderedPageBreak/>
              <w:t>檢附配電盤設備、斷路器及變壓器運轉異常檢修資料及紀錄。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lastRenderedPageBreak/>
              <w:t>9.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保護系統設備運轉異常檢修資料及紀錄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556" w:hanging="316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10.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電力電纜設備運轉異常檢修資料及紀錄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firstLine="24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11.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通信系統設備運轉異常檢修資料及紀錄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556" w:hanging="316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12.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風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機塔架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結構設計報告、詳細圖說及計算文件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（需經相關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專業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技師簽證）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numPr>
                <w:ilvl w:val="0"/>
                <w:numId w:val="40"/>
              </w:numPr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風機支撐結構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塔架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、基礎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之簽證，涉及土木、結構、水利、大地技師等相關專業技師執業範圍。故相關文件簽證應由各該科別技師依技師法第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條所定範疇辦理，並由一技師負責整合，與其他涉及科別之技師共同簽證負責，始符合法規要求。</w:t>
            </w:r>
          </w:p>
          <w:p w:rsidR="00A06073" w:rsidRPr="00A06073" w:rsidRDefault="00A06073" w:rsidP="009F7363">
            <w:pPr>
              <w:numPr>
                <w:ilvl w:val="0"/>
                <w:numId w:val="40"/>
              </w:numPr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離岸式風力發電廠商另須檢具「地質探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與地質構造分析報告文件」、「水下結構設計圖及計算文件」。</w:t>
            </w:r>
          </w:p>
          <w:p w:rsidR="00A06073" w:rsidRPr="00A06073" w:rsidRDefault="00A06073" w:rsidP="009F7363">
            <w:pPr>
              <w:numPr>
                <w:ilvl w:val="0"/>
                <w:numId w:val="40"/>
              </w:numPr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陸域式風力發電廠商另需檢具「地質探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報告文件」。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556" w:hanging="316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13.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基礎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結構設計報告、詳細圖說及計算文件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需經相關專業技師簽證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</w:p>
          <w:p w:rsidR="00A06073" w:rsidRPr="00A06073" w:rsidRDefault="00A06073" w:rsidP="009F7363">
            <w:pPr>
              <w:autoSpaceDN w:val="0"/>
              <w:spacing w:line="280" w:lineRule="exact"/>
              <w:ind w:left="556" w:hanging="316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ind w:left="556" w:hanging="316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14.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防鏽處理證明文件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二、現場設備與設施</w:t>
            </w:r>
          </w:p>
        </w:tc>
        <w:tc>
          <w:tcPr>
            <w:tcW w:w="6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888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22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384" w:hanging="144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申報機組容量是否與銘牌一致</w:t>
            </w: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384" w:hanging="144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2.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發電機運轉是否正常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請廠內人員說明。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384" w:hanging="144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3.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4"/>
                <w:kern w:val="3"/>
                <w:szCs w:val="24"/>
              </w:rPr>
              <w:t>申報原動機資料（葉片轉子）是否與規格一致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384" w:hanging="144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4.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原動機（葉片轉子）運轉是否正常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請廠內人員說明。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384" w:hanging="144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5.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開關場運作是否正常及是否與基本資料相符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napToGrid w:val="0"/>
              <w:spacing w:line="240" w:lineRule="atLeast"/>
              <w:ind w:left="-2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請廠內人員說明。無</w:t>
            </w:r>
            <w:proofErr w:type="gramStart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開關場者</w:t>
            </w:r>
            <w:proofErr w:type="gramEnd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，勘查變壓器運轉情形。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384" w:hanging="144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6.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kern w:val="3"/>
                <w:szCs w:val="24"/>
              </w:rPr>
              <w:t>保護系統運作是否正常及是否與基本資料相符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請廠內人員說明。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384" w:hanging="144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lastRenderedPageBreak/>
              <w:t>7.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kern w:val="3"/>
                <w:szCs w:val="24"/>
              </w:rPr>
              <w:t>控制系統運作是否正常及是否與基本資料相符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請廠內人員說明。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384" w:hanging="144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8.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kern w:val="3"/>
                <w:szCs w:val="24"/>
              </w:rPr>
              <w:t>通信系統運作是否正常及是否與基本資料相符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請廠內人員說明。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552" w:hanging="312"/>
              <w:rPr>
                <w:rFonts w:ascii="Times New Roman" w:hAnsi="Times New Roman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9.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kern w:val="3"/>
                <w:szCs w:val="24"/>
              </w:rPr>
              <w:t>廠內電源運作是否正常及是否與基本資料相符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請廠內人員說明。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552" w:hanging="312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10.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電力電纜運作是否正常及是否與基本資料相符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請廠內人員說明。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570" w:hanging="330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11.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552" w:hanging="312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12.</w:t>
            </w: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興建地點及面積是否與原核准計畫相符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left="552" w:hanging="312"/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13.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是否按海洋委員會海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巡署暨所屬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機關當初於籌設現場之會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意見及審查會決議事項施工，以維護海岸地區雷達、通信鏈路及守望勤務等功能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若籌設位置涉及海岸地區時適用。</w:t>
            </w:r>
          </w:p>
        </w:tc>
      </w:tr>
      <w:tr w:rsidR="00A06073" w:rsidRPr="00A06073" w:rsidTr="009F7363">
        <w:tc>
          <w:tcPr>
            <w:tcW w:w="525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三、人員與組織</w:t>
            </w:r>
          </w:p>
        </w:tc>
        <w:tc>
          <w:tcPr>
            <w:tcW w:w="6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888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22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ind w:firstLine="240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1.是否建立電廠組織架構</w:t>
            </w: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c>
          <w:tcPr>
            <w:tcW w:w="52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是否依據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電業事故通報程序標準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成立緊急應變人員編組、程序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jc w:val="center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r w:rsidRPr="00A06073">
              <w:rPr>
                <w:rFonts w:ascii="Wingdings" w:eastAsia="Wingdings" w:hAnsi="Wingdings" w:cs="Wingdings"/>
                <w:color w:val="000000" w:themeColor="text1"/>
                <w:kern w:val="3"/>
                <w:szCs w:val="24"/>
              </w:rPr>
              <w:t>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  <w:tr w:rsidR="00A06073" w:rsidRPr="00A06073" w:rsidTr="009F7363">
        <w:trPr>
          <w:cantSplit/>
          <w:trHeight w:val="281"/>
        </w:trPr>
        <w:tc>
          <w:tcPr>
            <w:tcW w:w="6651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before="120"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四、綜合審查意見</w:t>
            </w:r>
          </w:p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:rsidR="00A06073" w:rsidRPr="00A06073" w:rsidRDefault="00A06073" w:rsidP="009F7363">
            <w:pPr>
              <w:autoSpaceDN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A06073" w:rsidRDefault="00A06073" w:rsidP="009F7363">
            <w:pPr>
              <w:autoSpaceDN w:val="0"/>
              <w:spacing w:before="60" w:after="60" w:line="240" w:lineRule="atLeast"/>
              <w:rPr>
                <w:rFonts w:ascii="Liberation Serif" w:hAnsi="Liberation Serif" w:cs="Mangal"/>
                <w:color w:val="000000" w:themeColor="text1"/>
                <w:kern w:val="3"/>
                <w:szCs w:val="24"/>
                <w:lang w:bidi="hi-IN"/>
              </w:rPr>
            </w:pPr>
            <w:proofErr w:type="gramStart"/>
            <w:r w:rsidRPr="00A06073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核章欄</w:t>
            </w:r>
            <w:proofErr w:type="gramEnd"/>
          </w:p>
        </w:tc>
      </w:tr>
      <w:tr w:rsidR="00A06073" w:rsidRPr="00467D30" w:rsidTr="009F7363">
        <w:trPr>
          <w:cantSplit/>
          <w:trHeight w:val="1114"/>
        </w:trPr>
        <w:tc>
          <w:tcPr>
            <w:tcW w:w="6651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467D30" w:rsidRDefault="00A06073" w:rsidP="009F7363">
            <w:pPr>
              <w:autoSpaceDN w:val="0"/>
              <w:spacing w:before="120"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073" w:rsidRPr="00467D30" w:rsidRDefault="00A06073" w:rsidP="009F7363">
            <w:pPr>
              <w:autoSpaceDN w:val="0"/>
              <w:spacing w:before="60" w:after="60" w:line="240" w:lineRule="atLeas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</w:tr>
    </w:tbl>
    <w:p w:rsidR="00A06073" w:rsidRPr="00467D30" w:rsidRDefault="00A06073" w:rsidP="00A06073">
      <w:pPr>
        <w:tabs>
          <w:tab w:val="left" w:pos="2760"/>
          <w:tab w:val="left" w:pos="6360"/>
        </w:tabs>
        <w:snapToGrid w:val="0"/>
        <w:spacing w:before="200"/>
        <w:ind w:leftChars="-156" w:left="-374" w:right="-1055" w:firstLineChars="155" w:firstLine="372"/>
        <w:jc w:val="both"/>
        <w:rPr>
          <w:rFonts w:ascii="Times New Roman" w:eastAsia="標楷體" w:hAnsi="Times New Roman"/>
          <w:color w:val="000000" w:themeColor="text1"/>
          <w:szCs w:val="24"/>
          <w:u w:val="single"/>
        </w:rPr>
      </w:pPr>
      <w:proofErr w:type="gramStart"/>
      <w:r w:rsidRPr="00467D30">
        <w:rPr>
          <w:rFonts w:ascii="Times New Roman" w:eastAsia="標楷體" w:hAnsi="Times New Roman"/>
          <w:color w:val="000000" w:themeColor="text1"/>
          <w:szCs w:val="24"/>
        </w:rPr>
        <w:t>廠戳：</w:t>
      </w:r>
      <w:proofErr w:type="gramEnd"/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  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 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　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 xml:space="preserve">　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 </w:t>
      </w:r>
    </w:p>
    <w:p w:rsidR="00E30A97" w:rsidRPr="007A77D2" w:rsidRDefault="00E30A97" w:rsidP="007A77D2">
      <w:pPr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E30A97" w:rsidRPr="007A77D2" w:rsidSect="007A77D2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22" w:rsidRDefault="00F40B22">
      <w:r>
        <w:separator/>
      </w:r>
    </w:p>
  </w:endnote>
  <w:endnote w:type="continuationSeparator" w:id="0">
    <w:p w:rsidR="00F40B22" w:rsidRDefault="00F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新細明體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7A77D2">
      <w:rPr>
        <w:noProof/>
      </w:rPr>
      <w:t>2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7A77D2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22" w:rsidRDefault="00F40B22">
      <w:r>
        <w:separator/>
      </w:r>
    </w:p>
  </w:footnote>
  <w:footnote w:type="continuationSeparator" w:id="0">
    <w:p w:rsidR="00F40B22" w:rsidRDefault="00F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3147C"/>
    <w:rsid w:val="000B231D"/>
    <w:rsid w:val="000C6526"/>
    <w:rsid w:val="00141864"/>
    <w:rsid w:val="0015237C"/>
    <w:rsid w:val="00211527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4522FA"/>
    <w:rsid w:val="00520481"/>
    <w:rsid w:val="00541DE8"/>
    <w:rsid w:val="005524B3"/>
    <w:rsid w:val="0055573B"/>
    <w:rsid w:val="005675E5"/>
    <w:rsid w:val="0058021A"/>
    <w:rsid w:val="005821A2"/>
    <w:rsid w:val="005A79A7"/>
    <w:rsid w:val="005C1409"/>
    <w:rsid w:val="00610FF2"/>
    <w:rsid w:val="0069454D"/>
    <w:rsid w:val="006C0C3F"/>
    <w:rsid w:val="00732D21"/>
    <w:rsid w:val="007709B9"/>
    <w:rsid w:val="00774B4A"/>
    <w:rsid w:val="007A77D2"/>
    <w:rsid w:val="007B7343"/>
    <w:rsid w:val="00892E8A"/>
    <w:rsid w:val="00897ED5"/>
    <w:rsid w:val="00925EDD"/>
    <w:rsid w:val="00941DA6"/>
    <w:rsid w:val="00960870"/>
    <w:rsid w:val="00970963"/>
    <w:rsid w:val="009B4E7C"/>
    <w:rsid w:val="009F5522"/>
    <w:rsid w:val="009F7363"/>
    <w:rsid w:val="00A06073"/>
    <w:rsid w:val="00A4077D"/>
    <w:rsid w:val="00A40B0E"/>
    <w:rsid w:val="00A55285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C87EC0"/>
    <w:rsid w:val="00CA5F4A"/>
    <w:rsid w:val="00D5178B"/>
    <w:rsid w:val="00D7651B"/>
    <w:rsid w:val="00DB0E99"/>
    <w:rsid w:val="00DB6CE5"/>
    <w:rsid w:val="00DE3975"/>
    <w:rsid w:val="00DE49E1"/>
    <w:rsid w:val="00E30A97"/>
    <w:rsid w:val="00E44CA0"/>
    <w:rsid w:val="00E73E98"/>
    <w:rsid w:val="00E90417"/>
    <w:rsid w:val="00F05904"/>
    <w:rsid w:val="00F40B22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3FEA-C471-4D1A-94D9-CC088E7C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2021-09-02T03:59:00Z</cp:lastPrinted>
  <dcterms:created xsi:type="dcterms:W3CDTF">2021-09-02T04:02:00Z</dcterms:created>
  <dcterms:modified xsi:type="dcterms:W3CDTF">2021-09-02T04:02:00Z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