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73" w:rsidRPr="00467D30" w:rsidRDefault="00A06073" w:rsidP="00A06073">
      <w:pPr>
        <w:snapToGrid w:val="0"/>
        <w:spacing w:after="120"/>
        <w:jc w:val="both"/>
        <w:rPr>
          <w:rFonts w:ascii="Times New Roman" w:eastAsia="標楷體" w:hAnsi="Times New Roman"/>
          <w:color w:val="000000" w:themeColor="text1"/>
          <w:szCs w:val="24"/>
        </w:rPr>
      </w:pPr>
      <w:bookmarkStart w:id="0" w:name="_Toc105815979"/>
      <w:bookmarkStart w:id="1" w:name="_Toc105902063"/>
      <w:bookmarkStart w:id="2" w:name="_Toc105815978"/>
      <w:bookmarkStart w:id="3" w:name="_Toc105902062"/>
      <w:bookmarkStart w:id="4" w:name="_GoBack"/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附表五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火力汽力發電機組竣工查驗表</w:t>
      </w:r>
    </w:p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8"/>
        <w:gridCol w:w="690"/>
        <w:gridCol w:w="756"/>
        <w:gridCol w:w="822"/>
        <w:gridCol w:w="16"/>
        <w:gridCol w:w="2086"/>
      </w:tblGrid>
      <w:tr w:rsidR="00A06073" w:rsidRPr="00467D30" w:rsidTr="009F7363">
        <w:trPr>
          <w:trHeight w:val="260"/>
          <w:tblHeader/>
          <w:jc w:val="center"/>
        </w:trPr>
        <w:tc>
          <w:tcPr>
            <w:tcW w:w="5008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bookmarkEnd w:id="4"/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查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驗</w:t>
            </w:r>
          </w:p>
        </w:tc>
        <w:tc>
          <w:tcPr>
            <w:tcW w:w="2284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查驗結果</w:t>
            </w:r>
          </w:p>
        </w:tc>
        <w:tc>
          <w:tcPr>
            <w:tcW w:w="2086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備註說明</w:t>
            </w:r>
          </w:p>
        </w:tc>
      </w:tr>
      <w:tr w:rsidR="00A06073" w:rsidRPr="00467D30" w:rsidTr="009F7363">
        <w:trPr>
          <w:trHeight w:val="230"/>
          <w:tblHeader/>
          <w:jc w:val="center"/>
        </w:trPr>
        <w:tc>
          <w:tcPr>
            <w:tcW w:w="5008" w:type="dxa"/>
            <w:tcBorders>
              <w:top w:val="nil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項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目</w:t>
            </w:r>
          </w:p>
        </w:tc>
        <w:tc>
          <w:tcPr>
            <w:tcW w:w="690" w:type="dxa"/>
            <w:tcBorders>
              <w:top w:val="single" w:sz="8" w:space="0" w:color="auto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是</w:t>
            </w:r>
          </w:p>
        </w:tc>
        <w:tc>
          <w:tcPr>
            <w:tcW w:w="756" w:type="dxa"/>
            <w:tcBorders>
              <w:top w:val="single" w:sz="8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否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不適用</w:t>
            </w:r>
          </w:p>
        </w:tc>
        <w:tc>
          <w:tcPr>
            <w:tcW w:w="2086" w:type="dxa"/>
            <w:tcBorders>
              <w:top w:val="nil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  <w:tcBorders>
              <w:top w:val="nil"/>
            </w:tcBorders>
          </w:tcPr>
          <w:p w:rsidR="00A06073" w:rsidRPr="00A06073" w:rsidRDefault="00A06073" w:rsidP="009F7363">
            <w:pPr>
              <w:shd w:val="pct5" w:color="auto" w:fill="auto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一、是否檢具下列相關合格文件</w:t>
            </w:r>
          </w:p>
        </w:tc>
        <w:tc>
          <w:tcPr>
            <w:tcW w:w="690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6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運轉、維護作業規範及程序書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發電業電廠調度操作準則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580"/>
          <w:jc w:val="center"/>
        </w:trPr>
        <w:tc>
          <w:tcPr>
            <w:tcW w:w="50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ind w:left="436" w:hanging="19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發電設備試運轉檢驗報告（含契約規定之各項安全、性能測試及卸載試驗資料）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92"/>
          <w:jc w:val="center"/>
        </w:trPr>
        <w:tc>
          <w:tcPr>
            <w:tcW w:w="50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spacing w:line="280" w:lineRule="exact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(1)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  <w:lang w:eastAsia="ja-JP"/>
              </w:rPr>
              <w:t>併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聯試驗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53"/>
          <w:jc w:val="center"/>
        </w:trPr>
        <w:tc>
          <w:tcPr>
            <w:tcW w:w="50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spacing w:line="280" w:lineRule="exact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(2)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火焰探測器功能測試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324"/>
          <w:jc w:val="center"/>
        </w:trPr>
        <w:tc>
          <w:tcPr>
            <w:tcW w:w="50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spacing w:line="280" w:lineRule="exact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(3)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負載跳脫測試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43"/>
          <w:jc w:val="center"/>
        </w:trPr>
        <w:tc>
          <w:tcPr>
            <w:tcW w:w="50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ind w:left="79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(4)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發電機組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調速機特性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324"/>
          <w:jc w:val="center"/>
        </w:trPr>
        <w:tc>
          <w:tcPr>
            <w:tcW w:w="50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spacing w:line="280" w:lineRule="exact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(5)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鍋爐及各附屬設備安全閥測試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324"/>
          <w:jc w:val="center"/>
        </w:trPr>
        <w:tc>
          <w:tcPr>
            <w:tcW w:w="50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spacing w:line="280" w:lineRule="exact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(6)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自動燃燒控制試驗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65"/>
          <w:jc w:val="center"/>
        </w:trPr>
        <w:tc>
          <w:tcPr>
            <w:tcW w:w="50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spacing w:line="280" w:lineRule="exact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(7)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噪音測定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依據噪音管制標準，量測廠房周界外之噪音值是否合格。</w:t>
            </w:r>
          </w:p>
        </w:tc>
      </w:tr>
      <w:tr w:rsidR="00A06073" w:rsidRPr="00467D30" w:rsidTr="009F7363">
        <w:trPr>
          <w:cantSplit/>
          <w:trHeight w:val="288"/>
          <w:jc w:val="center"/>
        </w:trPr>
        <w:tc>
          <w:tcPr>
            <w:tcW w:w="50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spacing w:line="280" w:lineRule="exact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(8)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起動和各種停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緊急停機試驗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52"/>
          <w:jc w:val="center"/>
        </w:trPr>
        <w:tc>
          <w:tcPr>
            <w:tcW w:w="50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spacing w:line="280" w:lineRule="exact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(9)</w:t>
            </w:r>
            <w:r w:rsidRPr="00A06073">
              <w:rPr>
                <w:rFonts w:ascii="Times New Roman" w:eastAsia="標楷體" w:hAnsi="Times New Roman"/>
                <w:color w:val="000000" w:themeColor="text1"/>
                <w:spacing w:val="-2"/>
                <w:szCs w:val="24"/>
              </w:rPr>
              <w:t>鍋爐、汽機不同負載各控制系統特性試驗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71"/>
          <w:jc w:val="center"/>
        </w:trPr>
        <w:tc>
          <w:tcPr>
            <w:tcW w:w="50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ind w:left="888" w:hanging="4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(10)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鍋爐及汽機起動監視控制試驗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80"/>
          <w:jc w:val="center"/>
        </w:trPr>
        <w:tc>
          <w:tcPr>
            <w:tcW w:w="50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spacing w:line="280" w:lineRule="exact"/>
              <w:ind w:left="870" w:hanging="39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(11)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通風、冷凝水、循環水、給水、冷卻水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等系統試驗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353"/>
          <w:jc w:val="center"/>
        </w:trPr>
        <w:tc>
          <w:tcPr>
            <w:tcW w:w="50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ind w:left="888" w:hanging="4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(12)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汽輪發電機、鍋爐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跳脫及保護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系統試驗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43"/>
          <w:jc w:val="center"/>
        </w:trPr>
        <w:tc>
          <w:tcPr>
            <w:tcW w:w="50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spacing w:line="280" w:lineRule="exact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(13)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煙氣排放成份分析測定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43"/>
          <w:jc w:val="center"/>
        </w:trPr>
        <w:tc>
          <w:tcPr>
            <w:tcW w:w="50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2146"/>
                <w:tab w:val="num" w:pos="2340"/>
              </w:tabs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(14)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發電機進相運轉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僅需提出發電機具備此能力之證明文件。</w:t>
            </w:r>
          </w:p>
        </w:tc>
      </w:tr>
      <w:tr w:rsidR="00A06073" w:rsidRPr="00467D30" w:rsidTr="009F7363">
        <w:trPr>
          <w:cantSplit/>
          <w:trHeight w:val="243"/>
          <w:jc w:val="center"/>
        </w:trPr>
        <w:tc>
          <w:tcPr>
            <w:tcW w:w="5008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2146"/>
                <w:tab w:val="num" w:pos="2340"/>
              </w:tabs>
              <w:snapToGrid w:val="0"/>
              <w:spacing w:line="280" w:lineRule="exact"/>
              <w:ind w:firstLine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(15) AGC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、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AFC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及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EGC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等運轉模式試驗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僅需提出發電機具備此能力之證明文件。</w:t>
            </w: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80" w:lineRule="exac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開關場設備試運轉檢驗報告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含變壓器、斷路器、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SF</w:t>
            </w:r>
            <w:r w:rsidRPr="00A06073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vertAlign w:val="subscript"/>
              </w:rPr>
              <w:t>6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0"/>
              </w:rPr>
              <w:t>氣封絕緣開關裝置、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szCs w:val="20"/>
              </w:rPr>
              <w:t>避雷器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szCs w:val="20"/>
              </w:rPr>
              <w:t>、接地系統及蓄電池組等。</w:t>
            </w: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80" w:lineRule="exac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保護系統設備試運轉檢驗報告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0"/>
              </w:rPr>
              <w:t>含發電機組保護、變壓器保護、匯流排與斷路器保護及輸電線路保護等。</w:t>
            </w: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6.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電力電纜設備試運轉檢驗報告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8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7.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通信系統設備試運轉檢驗報告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8.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發電設備運轉異常檢修資料及紀錄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9.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開關場設備運轉異常檢修資料及紀錄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10.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保護系統設備運轉異常檢修資料及紀錄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11.</w:t>
            </w:r>
            <w:r w:rsidRPr="00A06073"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  <w:t>/</w:t>
            </w:r>
            <w:r w:rsidRPr="00A06073"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  <w:t>電力電纜運轉異常檢修資料及紀錄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12.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通信系統設備運轉異常檢修資料及紀錄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hd w:val="pct5" w:color="auto" w:fill="auto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二、現場設備與設施</w:t>
            </w:r>
          </w:p>
        </w:tc>
        <w:tc>
          <w:tcPr>
            <w:tcW w:w="690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6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2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申報機組容量是否與銘牌一致</w:t>
            </w:r>
          </w:p>
        </w:tc>
        <w:tc>
          <w:tcPr>
            <w:tcW w:w="690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發電機運轉是否正常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申報原動機資料是否與銘牌一致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原動機運轉是否正常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A06073">
              <w:rPr>
                <w:rFonts w:ascii="Times New Roman" w:eastAsia="標楷體" w:hAnsi="Times New Roman"/>
                <w:color w:val="000000" w:themeColor="text1"/>
                <w:spacing w:val="-2"/>
                <w:szCs w:val="24"/>
              </w:rPr>
              <w:t>開關場運作是否正常及是否與基本資料相符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48" w:hanging="2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6.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保護系統運作是否正常及是否與基本資料相符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48" w:hanging="2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7.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控制系統運作是否正常及是否與基本資料相符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80" w:lineRule="exact"/>
              <w:ind w:left="448" w:hanging="2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8.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輔機系統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運作是否正常及是否與基本資料相符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80" w:lineRule="exact"/>
              <w:ind w:left="448" w:hanging="2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9.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通信系統運作是否正常及是否與基本資料相符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80" w:lineRule="exac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10.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廠內電源運作是否正常及是否與基本資料相符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ind w:left="544" w:hanging="30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11.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電力電纜運作是否正常及是否與基本資料相符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12.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防情燈管電話、資訊傳輸電路及電力調度通信設施是否完善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ind w:left="584" w:hanging="3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13.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發電廠資訊末端設備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(RTU)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、遙測設備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(DTM)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之安裝、測試及維護是否完善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14.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儲存燃料設備（油或煤）是否完備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15.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運轉燃料安全存量是否足夠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16.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煙囪相關設施是否運作正常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ind w:left="570" w:hanging="33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17.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是否應設置飛航障礙物標誌與障礙燈設施，如設置，是否符合民航局相關規範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18.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興建地點及面積是否與原核准計畫相符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19.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是否按海洋委員會海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巡署暨所屬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機關當初於籌設現場之會</w:t>
            </w: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勘</w:t>
            </w:r>
            <w:proofErr w:type="gramEnd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意見及審查會決議事項施工，以維護海岸地區雷達、通信鏈路及守望勤務等功能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若籌設位置涉及海岸地區時適用。</w:t>
            </w: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  <w:tcBorders>
              <w:top w:val="double" w:sz="6" w:space="0" w:color="auto"/>
              <w:bottom w:val="single" w:sz="6" w:space="0" w:color="auto"/>
            </w:tcBorders>
            <w:shd w:val="pct5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三、人員與組織</w:t>
            </w:r>
          </w:p>
        </w:tc>
        <w:tc>
          <w:tcPr>
            <w:tcW w:w="690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6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2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是否建立電廠組織架構</w:t>
            </w:r>
          </w:p>
        </w:tc>
        <w:tc>
          <w:tcPr>
            <w:tcW w:w="690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是否辦理營運期間現場人員作業相關證照及訓練紀錄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008" w:type="dxa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是否依據「電業事故通報程序標準」成立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緊急應變人員編組、程序</w:t>
            </w: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sym w:font="Wingdings" w:char="F0A8"/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300"/>
          <w:jc w:val="center"/>
        </w:trPr>
        <w:tc>
          <w:tcPr>
            <w:tcW w:w="6454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before="12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四、綜合審查意見</w:t>
            </w: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9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before="60" w:after="6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核章欄</w:t>
            </w:r>
            <w:proofErr w:type="gramEnd"/>
          </w:p>
        </w:tc>
      </w:tr>
      <w:tr w:rsidR="00A06073" w:rsidRPr="00467D30" w:rsidTr="009F7363">
        <w:trPr>
          <w:cantSplit/>
          <w:trHeight w:val="1047"/>
          <w:jc w:val="center"/>
        </w:trPr>
        <w:tc>
          <w:tcPr>
            <w:tcW w:w="6454" w:type="dxa"/>
            <w:gridSpan w:val="3"/>
            <w:vMerge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before="12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06073" w:rsidRPr="00A06073" w:rsidRDefault="00A06073" w:rsidP="009F7363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A06073" w:rsidRPr="00467D30" w:rsidRDefault="00A06073" w:rsidP="00A06073">
      <w:pPr>
        <w:rPr>
          <w:color w:val="000000" w:themeColor="text1"/>
        </w:rPr>
      </w:pPr>
    </w:p>
    <w:p w:rsidR="00A06073" w:rsidRPr="00467D30" w:rsidRDefault="00A06073" w:rsidP="00A06073">
      <w:pPr>
        <w:tabs>
          <w:tab w:val="left" w:pos="2760"/>
          <w:tab w:val="left" w:pos="6360"/>
        </w:tabs>
        <w:snapToGrid w:val="0"/>
        <w:spacing w:before="200"/>
        <w:ind w:leftChars="-130" w:left="-312" w:right="-1055" w:firstLineChars="105" w:firstLine="252"/>
        <w:jc w:val="both"/>
        <w:rPr>
          <w:rFonts w:ascii="Times New Roman" w:eastAsia="標楷體" w:hAnsi="Times New Roman"/>
          <w:color w:val="000000" w:themeColor="text1"/>
          <w:szCs w:val="24"/>
        </w:rPr>
      </w:pPr>
      <w:proofErr w:type="gramStart"/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廠戳：</w:t>
      </w:r>
      <w:proofErr w:type="gramEnd"/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  <w:r w:rsidRPr="00467D30">
        <w:rPr>
          <w:rFonts w:ascii="Times New Roman" w:eastAsia="標楷體" w:hAnsi="Times New Roman"/>
          <w:color w:val="000000" w:themeColor="text1"/>
          <w:szCs w:val="24"/>
        </w:rPr>
        <w:tab/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會同人員：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查驗人員：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</w:p>
    <w:bookmarkEnd w:id="0"/>
    <w:bookmarkEnd w:id="1"/>
    <w:bookmarkEnd w:id="2"/>
    <w:bookmarkEnd w:id="3"/>
    <w:p w:rsidR="00E30A97" w:rsidRPr="00211527" w:rsidRDefault="00E30A97" w:rsidP="00211527">
      <w:pPr>
        <w:snapToGrid w:val="0"/>
        <w:spacing w:after="120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sectPr w:rsidR="00E30A97" w:rsidRPr="00211527" w:rsidSect="00211527"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7E" w:rsidRDefault="00A50E7E">
      <w:r>
        <w:separator/>
      </w:r>
    </w:p>
  </w:endnote>
  <w:endnote w:type="continuationSeparator" w:id="0">
    <w:p w:rsidR="00A50E7E" w:rsidRDefault="00A5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askervilleStd-Bold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211527">
      <w:rPr>
        <w:noProof/>
      </w:rPr>
      <w:t>2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211527">
      <w:rPr>
        <w:noProof/>
      </w:rPr>
      <w:t>1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7E" w:rsidRDefault="00A50E7E">
      <w:r>
        <w:separator/>
      </w:r>
    </w:p>
  </w:footnote>
  <w:footnote w:type="continuationSeparator" w:id="0">
    <w:p w:rsidR="00A50E7E" w:rsidRDefault="00A50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2"/>
      <w:jc w:val="center"/>
      <w:rPr>
        <w:rFonts w:ascii="標楷體" w:eastAsia="標楷體" w:hAnsi="標楷體"/>
        <w:sz w:val="38"/>
        <w:szCs w:val="38"/>
      </w:rPr>
    </w:pPr>
  </w:p>
  <w:p w:rsidR="009F7363" w:rsidRDefault="009F73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85B"/>
    <w:multiLevelType w:val="hybridMultilevel"/>
    <w:tmpl w:val="CE345408"/>
    <w:lvl w:ilvl="0" w:tplc="6430E9B2">
      <w:start w:val="1"/>
      <w:numFmt w:val="bullet"/>
      <w:lvlText w:val="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62CDFC8">
      <w:start w:val="1"/>
      <w:numFmt w:val="bullet"/>
      <w:pStyle w:val="a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CF7869"/>
    <w:multiLevelType w:val="hybridMultilevel"/>
    <w:tmpl w:val="1A241FC4"/>
    <w:lvl w:ilvl="0" w:tplc="08C00A9C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">
    <w:nsid w:val="07410A4E"/>
    <w:multiLevelType w:val="multilevel"/>
    <w:tmpl w:val="11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F157F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A7346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5">
    <w:nsid w:val="100367C3"/>
    <w:multiLevelType w:val="hybridMultilevel"/>
    <w:tmpl w:val="CA7457A8"/>
    <w:lvl w:ilvl="0" w:tplc="8C621F1C">
      <w:start w:val="1"/>
      <w:numFmt w:val="taiwaneseCountingThousand"/>
      <w:pStyle w:val="a0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263C34"/>
    <w:multiLevelType w:val="singleLevel"/>
    <w:tmpl w:val="B366CA92"/>
    <w:lvl w:ilvl="0">
      <w:start w:val="4"/>
      <w:numFmt w:val="taiwaneseCountingThousand"/>
      <w:pStyle w:val="a1"/>
      <w:lvlText w:val="%1、"/>
      <w:lvlJc w:val="left"/>
      <w:pPr>
        <w:tabs>
          <w:tab w:val="num" w:pos="1080"/>
        </w:tabs>
        <w:ind w:left="804" w:hanging="804"/>
      </w:pPr>
      <w:rPr>
        <w:rFonts w:hint="eastAsia"/>
      </w:rPr>
    </w:lvl>
  </w:abstractNum>
  <w:abstractNum w:abstractNumId="7">
    <w:nsid w:val="1B0001E4"/>
    <w:multiLevelType w:val="multilevel"/>
    <w:tmpl w:val="97FE9808"/>
    <w:lvl w:ilvl="0">
      <w:start w:val="1"/>
      <w:numFmt w:val="ideographLegalTraditional"/>
      <w:lvlText w:val="%1、"/>
      <w:lvlJc w:val="left"/>
      <w:pPr>
        <w:ind w:left="8931" w:hanging="8931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277" w:hanging="99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2">
      <w:start w:val="1"/>
      <w:numFmt w:val="taiwaneseCountingThousand"/>
      <w:suff w:val="nothing"/>
      <w:lvlText w:val="(%3)"/>
      <w:lvlJc w:val="left"/>
      <w:pPr>
        <w:ind w:left="2268" w:hanging="170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Cs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suff w:val="nothing"/>
      <w:lvlText w:val="%4."/>
      <w:lvlJc w:val="left"/>
      <w:pPr>
        <w:ind w:left="1418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(%5)"/>
      <w:lvlJc w:val="left"/>
      <w:pPr>
        <w:tabs>
          <w:tab w:val="num" w:pos="1531"/>
        </w:tabs>
        <w:ind w:left="1588" w:hanging="454"/>
      </w:pPr>
      <w:rPr>
        <w:rFonts w:hint="eastAsia"/>
      </w:rPr>
    </w:lvl>
    <w:lvl w:ilvl="5">
      <w:numFmt w:val="none"/>
      <w:pStyle w:val="6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6850304"/>
      <w:numFmt w:val="decimal"/>
      <w:pStyle w:val="7"/>
      <w:suff w:val="space"/>
      <w:lvlText w:val=""/>
      <w:lvlJc w:val="left"/>
      <w:pPr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8">
    <w:nsid w:val="1EC80A9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D12C50"/>
    <w:multiLevelType w:val="hybridMultilevel"/>
    <w:tmpl w:val="928EFE74"/>
    <w:lvl w:ilvl="0" w:tplc="2E02716A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0">
    <w:nsid w:val="2651190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11">
    <w:nsid w:val="289F0498"/>
    <w:multiLevelType w:val="hybridMultilevel"/>
    <w:tmpl w:val="0F904E7C"/>
    <w:lvl w:ilvl="0" w:tplc="E7E280C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29846840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8B09E1"/>
    <w:multiLevelType w:val="multilevel"/>
    <w:tmpl w:val="BD3AD412"/>
    <w:lvl w:ilvl="0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E4103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37131B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19900F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7E35DE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1614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1C4257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083E55"/>
    <w:multiLevelType w:val="hybridMultilevel"/>
    <w:tmpl w:val="BD3AD412"/>
    <w:lvl w:ilvl="0" w:tplc="FFFFFFFF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BCF23A3"/>
    <w:multiLevelType w:val="hybridMultilevel"/>
    <w:tmpl w:val="31FCD648"/>
    <w:lvl w:ilvl="0" w:tplc="14E0542E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1">
    <w:nsid w:val="3DB75490"/>
    <w:multiLevelType w:val="hybridMultilevel"/>
    <w:tmpl w:val="633E9BEC"/>
    <w:lvl w:ilvl="0" w:tplc="04090011">
      <w:start w:val="1"/>
      <w:numFmt w:val="upperLetter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43B9403C"/>
    <w:multiLevelType w:val="multilevel"/>
    <w:tmpl w:val="0C14A36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6F7647"/>
    <w:multiLevelType w:val="hybridMultilevel"/>
    <w:tmpl w:val="414AFF0A"/>
    <w:lvl w:ilvl="0" w:tplc="E0281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DA00D4"/>
    <w:multiLevelType w:val="hybridMultilevel"/>
    <w:tmpl w:val="E4A2A292"/>
    <w:lvl w:ilvl="0" w:tplc="C706EDE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2127E3"/>
    <w:multiLevelType w:val="multilevel"/>
    <w:tmpl w:val="B2D6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1D72AD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7B6E5E"/>
    <w:multiLevelType w:val="hybridMultilevel"/>
    <w:tmpl w:val="9EC0C8F8"/>
    <w:lvl w:ilvl="0" w:tplc="7F78B22A">
      <w:start w:val="1"/>
      <w:numFmt w:val="decimal"/>
      <w:lvlText w:val="%1."/>
      <w:lvlJc w:val="left"/>
      <w:pPr>
        <w:tabs>
          <w:tab w:val="num" w:pos="920"/>
        </w:tabs>
        <w:ind w:left="917" w:hanging="357"/>
      </w:pPr>
      <w:rPr>
        <w:rFonts w:ascii="Times New Roman" w:eastAsia="標楷體" w:hAnsi="Times New Roman" w:hint="default"/>
        <w:color w:val="auto"/>
      </w:rPr>
    </w:lvl>
    <w:lvl w:ilvl="1" w:tplc="EB6AFB16">
      <w:start w:val="1"/>
      <w:numFmt w:val="decimal"/>
      <w:lvlText w:val="(%2)"/>
      <w:lvlJc w:val="left"/>
      <w:pPr>
        <w:tabs>
          <w:tab w:val="num" w:pos="864"/>
        </w:tabs>
        <w:ind w:left="144" w:firstLine="360"/>
      </w:pPr>
      <w:rPr>
        <w:rFonts w:ascii="Times New Roman" w:eastAsia="標楷體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8">
    <w:nsid w:val="528469EA"/>
    <w:multiLevelType w:val="hybridMultilevel"/>
    <w:tmpl w:val="300A56E6"/>
    <w:lvl w:ilvl="0" w:tplc="FFFFFFFF">
      <w:start w:val="1"/>
      <w:numFmt w:val="decimal"/>
      <w:suff w:val="space"/>
      <w:lvlText w:val="%1."/>
      <w:lvlJc w:val="left"/>
      <w:pPr>
        <w:ind w:left="694" w:hanging="18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174" w:hanging="18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34"/>
        </w:tabs>
        <w:ind w:left="1834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9">
    <w:nsid w:val="56013C27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90C6EF0"/>
    <w:multiLevelType w:val="hybridMultilevel"/>
    <w:tmpl w:val="849CD400"/>
    <w:lvl w:ilvl="0" w:tplc="FFFFFFFF">
      <w:start w:val="1"/>
      <w:numFmt w:val="decimal"/>
      <w:suff w:val="space"/>
      <w:lvlText w:val="%1."/>
      <w:lvlJc w:val="left"/>
      <w:pPr>
        <w:ind w:left="780" w:hanging="30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260" w:hanging="30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6014294A"/>
    <w:multiLevelType w:val="multilevel"/>
    <w:tmpl w:val="09BA6FCC"/>
    <w:lvl w:ilvl="0">
      <w:start w:val="1"/>
      <w:numFmt w:val="taiwaneseCountingThousand"/>
      <w:lvlText w:val="(%1)"/>
      <w:lvlJc w:val="left"/>
      <w:pPr>
        <w:tabs>
          <w:tab w:val="num" w:pos="1008"/>
        </w:tabs>
        <w:ind w:left="100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33C3AB8"/>
    <w:multiLevelType w:val="hybridMultilevel"/>
    <w:tmpl w:val="3A5C2DA8"/>
    <w:lvl w:ilvl="0" w:tplc="FFFFFFFF">
      <w:start w:val="1"/>
      <w:numFmt w:val="upperLetter"/>
      <w:lvlText w:val="%1."/>
      <w:lvlJc w:val="left"/>
      <w:pPr>
        <w:tabs>
          <w:tab w:val="num" w:pos="874"/>
        </w:tabs>
        <w:ind w:left="874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3">
    <w:nsid w:val="656345BD"/>
    <w:multiLevelType w:val="hybridMultilevel"/>
    <w:tmpl w:val="70784ED4"/>
    <w:lvl w:ilvl="0" w:tplc="2AEE677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88623A5"/>
    <w:multiLevelType w:val="multilevel"/>
    <w:tmpl w:val="704449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A737B6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CFF363B"/>
    <w:multiLevelType w:val="singleLevel"/>
    <w:tmpl w:val="4636F8B8"/>
    <w:lvl w:ilvl="0">
      <w:numFmt w:val="bullet"/>
      <w:lvlText w:val="□"/>
      <w:lvlJc w:val="left"/>
      <w:pPr>
        <w:tabs>
          <w:tab w:val="num" w:pos="443"/>
        </w:tabs>
        <w:ind w:left="443" w:hanging="330"/>
      </w:pPr>
      <w:rPr>
        <w:rFonts w:ascii="標楷體" w:eastAsia="標楷體" w:hAnsi="Times New Roman" w:hint="eastAsia"/>
      </w:rPr>
    </w:lvl>
  </w:abstractNum>
  <w:abstractNum w:abstractNumId="37">
    <w:nsid w:val="6D8C6435"/>
    <w:multiLevelType w:val="hybridMultilevel"/>
    <w:tmpl w:val="4226058E"/>
    <w:lvl w:ilvl="0" w:tplc="56C070B0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38">
    <w:nsid w:val="6DD56196"/>
    <w:multiLevelType w:val="singleLevel"/>
    <w:tmpl w:val="0D6EAB16"/>
    <w:lvl w:ilvl="0"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9">
    <w:nsid w:val="6FF73999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0594423"/>
    <w:multiLevelType w:val="hybridMultilevel"/>
    <w:tmpl w:val="D986AD28"/>
    <w:lvl w:ilvl="0" w:tplc="04090003">
      <w:start w:val="1"/>
      <w:numFmt w:val="bullet"/>
      <w:pStyle w:val="item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74F52964"/>
    <w:multiLevelType w:val="hybridMultilevel"/>
    <w:tmpl w:val="33A0EDE6"/>
    <w:lvl w:ilvl="0" w:tplc="570A6B8E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436127"/>
    <w:multiLevelType w:val="hybridMultilevel"/>
    <w:tmpl w:val="3626B72A"/>
    <w:lvl w:ilvl="0" w:tplc="0CBC066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8FD626A"/>
    <w:multiLevelType w:val="hybridMultilevel"/>
    <w:tmpl w:val="AEF685E2"/>
    <w:lvl w:ilvl="0" w:tplc="B4441C24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9452CC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D344A5"/>
    <w:multiLevelType w:val="hybridMultilevel"/>
    <w:tmpl w:val="4F0CFAF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6">
    <w:nsid w:val="7EBB3090"/>
    <w:multiLevelType w:val="hybridMultilevel"/>
    <w:tmpl w:val="B7302E1E"/>
    <w:lvl w:ilvl="0" w:tplc="EBD84C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8B397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7"/>
  </w:num>
  <w:num w:numId="4">
    <w:abstractNumId w:val="41"/>
  </w:num>
  <w:num w:numId="5">
    <w:abstractNumId w:val="35"/>
  </w:num>
  <w:num w:numId="6">
    <w:abstractNumId w:val="16"/>
  </w:num>
  <w:num w:numId="7">
    <w:abstractNumId w:val="40"/>
  </w:num>
  <w:num w:numId="8">
    <w:abstractNumId w:val="5"/>
  </w:num>
  <w:num w:numId="9">
    <w:abstractNumId w:val="1"/>
  </w:num>
  <w:num w:numId="10">
    <w:abstractNumId w:val="10"/>
  </w:num>
  <w:num w:numId="11">
    <w:abstractNumId w:val="20"/>
  </w:num>
  <w:num w:numId="12">
    <w:abstractNumId w:val="12"/>
  </w:num>
  <w:num w:numId="13">
    <w:abstractNumId w:val="14"/>
  </w:num>
  <w:num w:numId="14">
    <w:abstractNumId w:val="9"/>
  </w:num>
  <w:num w:numId="15">
    <w:abstractNumId w:val="4"/>
  </w:num>
  <w:num w:numId="16">
    <w:abstractNumId w:val="37"/>
  </w:num>
  <w:num w:numId="17">
    <w:abstractNumId w:val="21"/>
  </w:num>
  <w:num w:numId="18">
    <w:abstractNumId w:val="17"/>
  </w:num>
  <w:num w:numId="19">
    <w:abstractNumId w:val="18"/>
  </w:num>
  <w:num w:numId="20">
    <w:abstractNumId w:val="29"/>
  </w:num>
  <w:num w:numId="21">
    <w:abstractNumId w:val="42"/>
  </w:num>
  <w:num w:numId="22">
    <w:abstractNumId w:val="30"/>
  </w:num>
  <w:num w:numId="23">
    <w:abstractNumId w:val="28"/>
  </w:num>
  <w:num w:numId="24">
    <w:abstractNumId w:val="32"/>
  </w:num>
  <w:num w:numId="25">
    <w:abstractNumId w:val="34"/>
  </w:num>
  <w:num w:numId="26">
    <w:abstractNumId w:val="6"/>
  </w:num>
  <w:num w:numId="27">
    <w:abstractNumId w:val="43"/>
  </w:num>
  <w:num w:numId="28">
    <w:abstractNumId w:val="27"/>
  </w:num>
  <w:num w:numId="29">
    <w:abstractNumId w:val="11"/>
  </w:num>
  <w:num w:numId="30">
    <w:abstractNumId w:val="0"/>
  </w:num>
  <w:num w:numId="31">
    <w:abstractNumId w:val="33"/>
  </w:num>
  <w:num w:numId="32">
    <w:abstractNumId w:val="19"/>
  </w:num>
  <w:num w:numId="33">
    <w:abstractNumId w:val="38"/>
  </w:num>
  <w:num w:numId="34">
    <w:abstractNumId w:val="45"/>
  </w:num>
  <w:num w:numId="35">
    <w:abstractNumId w:val="31"/>
  </w:num>
  <w:num w:numId="36">
    <w:abstractNumId w:val="13"/>
  </w:num>
  <w:num w:numId="37">
    <w:abstractNumId w:val="36"/>
  </w:num>
  <w:num w:numId="38">
    <w:abstractNumId w:val="25"/>
  </w:num>
  <w:num w:numId="39">
    <w:abstractNumId w:val="2"/>
  </w:num>
  <w:num w:numId="40">
    <w:abstractNumId w:val="22"/>
  </w:num>
  <w:num w:numId="41">
    <w:abstractNumId w:val="46"/>
  </w:num>
  <w:num w:numId="42">
    <w:abstractNumId w:val="44"/>
  </w:num>
  <w:num w:numId="43">
    <w:abstractNumId w:val="39"/>
  </w:num>
  <w:num w:numId="44">
    <w:abstractNumId w:val="15"/>
  </w:num>
  <w:num w:numId="45">
    <w:abstractNumId w:val="3"/>
  </w:num>
  <w:num w:numId="46">
    <w:abstractNumId w:val="23"/>
  </w:num>
  <w:num w:numId="47">
    <w:abstractNumId w:val="2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D5"/>
    <w:rsid w:val="0003147C"/>
    <w:rsid w:val="000B231D"/>
    <w:rsid w:val="000C6526"/>
    <w:rsid w:val="00141864"/>
    <w:rsid w:val="0015237C"/>
    <w:rsid w:val="00211527"/>
    <w:rsid w:val="0021561F"/>
    <w:rsid w:val="002263CF"/>
    <w:rsid w:val="0026735D"/>
    <w:rsid w:val="00275F67"/>
    <w:rsid w:val="002B16A2"/>
    <w:rsid w:val="002B43EF"/>
    <w:rsid w:val="002E25B2"/>
    <w:rsid w:val="00300388"/>
    <w:rsid w:val="00330A08"/>
    <w:rsid w:val="00381A89"/>
    <w:rsid w:val="003E7C64"/>
    <w:rsid w:val="003F09A5"/>
    <w:rsid w:val="004522FA"/>
    <w:rsid w:val="00520481"/>
    <w:rsid w:val="00541DE8"/>
    <w:rsid w:val="005524B3"/>
    <w:rsid w:val="0055573B"/>
    <w:rsid w:val="005675E5"/>
    <w:rsid w:val="0058021A"/>
    <w:rsid w:val="005A79A7"/>
    <w:rsid w:val="005C1409"/>
    <w:rsid w:val="00610FF2"/>
    <w:rsid w:val="0069454D"/>
    <w:rsid w:val="006C0C3F"/>
    <w:rsid w:val="00732D21"/>
    <w:rsid w:val="007709B9"/>
    <w:rsid w:val="00774B4A"/>
    <w:rsid w:val="007B7343"/>
    <w:rsid w:val="00892E8A"/>
    <w:rsid w:val="00897ED5"/>
    <w:rsid w:val="00925EDD"/>
    <w:rsid w:val="00941DA6"/>
    <w:rsid w:val="00960870"/>
    <w:rsid w:val="00970963"/>
    <w:rsid w:val="009B4E7C"/>
    <w:rsid w:val="009F5522"/>
    <w:rsid w:val="009F7363"/>
    <w:rsid w:val="00A06073"/>
    <w:rsid w:val="00A40B0E"/>
    <w:rsid w:val="00A50E7E"/>
    <w:rsid w:val="00A862E8"/>
    <w:rsid w:val="00A93D65"/>
    <w:rsid w:val="00AA5D5D"/>
    <w:rsid w:val="00BC179F"/>
    <w:rsid w:val="00BE4FCA"/>
    <w:rsid w:val="00BE5912"/>
    <w:rsid w:val="00BF4ECA"/>
    <w:rsid w:val="00C12140"/>
    <w:rsid w:val="00C5439D"/>
    <w:rsid w:val="00C61B63"/>
    <w:rsid w:val="00C70BDD"/>
    <w:rsid w:val="00C83823"/>
    <w:rsid w:val="00D5178B"/>
    <w:rsid w:val="00D7651B"/>
    <w:rsid w:val="00DB0E99"/>
    <w:rsid w:val="00DB6CE5"/>
    <w:rsid w:val="00DE3975"/>
    <w:rsid w:val="00DE49E1"/>
    <w:rsid w:val="00E30A97"/>
    <w:rsid w:val="00E44CA0"/>
    <w:rsid w:val="00E73E98"/>
    <w:rsid w:val="00E90417"/>
    <w:rsid w:val="00F05904"/>
    <w:rsid w:val="00F805BC"/>
    <w:rsid w:val="00F9655C"/>
    <w:rsid w:val="00FD3850"/>
    <w:rsid w:val="00FF692F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40;&#24029;&#37406;\&#38651;&#21147;&#20132;&#26131;&#24179;&#21488;\&#20844;&#21578;\&#36628;&#21161;&#26381;&#21209;&#21450;&#20633;&#29992;&#23481;&#3732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84C7-BB1F-4369-AFE4-0A4E9847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輔助服務及備用容量.dot</Template>
  <TotalTime>0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戴川鈞</dc:creator>
  <cp:lastModifiedBy>黃耀瑩</cp:lastModifiedBy>
  <cp:revision>2</cp:revision>
  <cp:lastPrinted>2021-09-02T03:55:00Z</cp:lastPrinted>
  <dcterms:created xsi:type="dcterms:W3CDTF">2021-09-02T03:56:00Z</dcterms:created>
  <dcterms:modified xsi:type="dcterms:W3CDTF">2021-09-02T03:56:00Z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