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467D30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GoBack"/>
      <w:r w:rsidRPr="00467D30">
        <w:rPr>
          <w:rFonts w:ascii="Times New Roman" w:eastAsia="標楷體" w:hAnsi="Times New Roman"/>
          <w:color w:val="000000" w:themeColor="text1"/>
          <w:szCs w:val="24"/>
        </w:rPr>
        <w:t>附表三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>火力氣渦輪發電機組竣工查驗表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1"/>
        <w:gridCol w:w="694"/>
        <w:gridCol w:w="689"/>
        <w:gridCol w:w="778"/>
        <w:gridCol w:w="2208"/>
      </w:tblGrid>
      <w:tr w:rsidR="00A06073" w:rsidRPr="00A06073" w:rsidTr="009F7363">
        <w:trPr>
          <w:trHeight w:val="260"/>
          <w:tblHeader/>
          <w:jc w:val="center"/>
        </w:trPr>
        <w:tc>
          <w:tcPr>
            <w:tcW w:w="5011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4"/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查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驗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查驗結果</w:t>
            </w:r>
          </w:p>
        </w:tc>
        <w:tc>
          <w:tcPr>
            <w:tcW w:w="2208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備註說明</w:t>
            </w:r>
          </w:p>
        </w:tc>
      </w:tr>
      <w:tr w:rsidR="00A06073" w:rsidRPr="00A06073" w:rsidTr="009F7363">
        <w:trPr>
          <w:trHeight w:val="230"/>
          <w:tblHeader/>
          <w:jc w:val="center"/>
        </w:trPr>
        <w:tc>
          <w:tcPr>
            <w:tcW w:w="5011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項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目</w:t>
            </w:r>
          </w:p>
        </w:tc>
        <w:tc>
          <w:tcPr>
            <w:tcW w:w="694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</w:t>
            </w:r>
          </w:p>
        </w:tc>
        <w:tc>
          <w:tcPr>
            <w:tcW w:w="689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否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2208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645"/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24" w:hanging="18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76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聯試驗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39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火焰探測器功能測試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24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01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79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(4)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發電機組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調速機特性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24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(5)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噪音測定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依據噪音管制標準，量測廠房周界外之噪音值是否合格。</w:t>
            </w:r>
          </w:p>
        </w:tc>
      </w:tr>
      <w:tr w:rsidR="00A06073" w:rsidRPr="00A06073" w:rsidTr="009F7363">
        <w:trPr>
          <w:trHeight w:val="288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(6)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52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(7)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氣渦輪發電機、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跳脫及保護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系統試驗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19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(8)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煙氣排放成份分析測定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19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(9)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發電機進相運轉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trHeight w:val="219"/>
          <w:jc w:val="center"/>
        </w:trPr>
        <w:tc>
          <w:tcPr>
            <w:tcW w:w="5011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(10) AGC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AFC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及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EGC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等運轉模式試驗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  <w:t>電力電纜運轉異常檢修資料及紀錄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0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69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2"/>
                <w:szCs w:val="24"/>
              </w:rPr>
              <w:t>開關場運作是否正常及是否與基本資料相符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8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發電廠資訊末端設備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(RTU)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、遙測設備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(DTM)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之安裝、測試及維護是否完善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儲存燃料設備（油或天然氣）是否完備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天然氣管線是否完善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無天然氣管線者免受查驗。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運轉燃料安全存量是否足夠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17.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煙囪相關設施是否運作正常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68" w:hanging="3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18.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19.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20.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69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若籌設位置涉及海岸地區時適用。</w:t>
            </w: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0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1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是否依據「電業事故通報程序標準」成立緊急應變人員編組、程序</w:t>
            </w:r>
          </w:p>
        </w:tc>
        <w:tc>
          <w:tcPr>
            <w:tcW w:w="694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89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208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88"/>
          <w:jc w:val="center"/>
        </w:trPr>
        <w:tc>
          <w:tcPr>
            <w:tcW w:w="6394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核章欄</w:t>
            </w:r>
            <w:proofErr w:type="gramEnd"/>
          </w:p>
        </w:tc>
      </w:tr>
      <w:tr w:rsidR="00A06073" w:rsidRPr="00A06073" w:rsidTr="009F7363">
        <w:trPr>
          <w:cantSplit/>
          <w:trHeight w:val="1112"/>
          <w:jc w:val="center"/>
        </w:trPr>
        <w:tc>
          <w:tcPr>
            <w:tcW w:w="6394" w:type="dxa"/>
            <w:gridSpan w:val="3"/>
            <w:vMerge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rPr>
          <w:color w:val="000000" w:themeColor="text1"/>
        </w:rPr>
      </w:pPr>
    </w:p>
    <w:p w:rsidR="00A06073" w:rsidRPr="00467D30" w:rsidRDefault="00A06073" w:rsidP="00A06073">
      <w:pPr>
        <w:tabs>
          <w:tab w:val="left" w:pos="2880"/>
          <w:tab w:val="left" w:pos="6120"/>
        </w:tabs>
        <w:snapToGrid w:val="0"/>
        <w:spacing w:before="200"/>
        <w:ind w:leftChars="-130" w:left="-312" w:right="-1055" w:firstLineChars="105" w:firstLine="252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467D30">
        <w:rPr>
          <w:rFonts w:ascii="Times New Roman" w:eastAsia="標楷體" w:hAnsi="Times New Roman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</w:t>
      </w:r>
      <w:r w:rsidRPr="00467D30">
        <w:rPr>
          <w:rFonts w:ascii="Times New Roman" w:eastAsia="標楷體" w:hAnsi="Times New Roman"/>
          <w:color w:val="000000" w:themeColor="text1"/>
          <w:sz w:val="16"/>
          <w:szCs w:val="16"/>
        </w:rPr>
        <w:tab/>
      </w:r>
      <w:r w:rsidRPr="00467D30">
        <w:rPr>
          <w:rFonts w:ascii="Times New Roman" w:eastAsia="標楷體" w:hAnsi="Times New Roman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</w:t>
      </w:r>
    </w:p>
    <w:bookmarkEnd w:id="0"/>
    <w:bookmarkEnd w:id="1"/>
    <w:bookmarkEnd w:id="2"/>
    <w:bookmarkEnd w:id="3"/>
    <w:p w:rsidR="00E30A97" w:rsidRPr="00A862E8" w:rsidRDefault="00E30A97" w:rsidP="00A862E8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sectPr w:rsidR="00E30A97" w:rsidRPr="00A862E8" w:rsidSect="00A862E8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DF" w:rsidRDefault="00925BDF">
      <w:r>
        <w:separator/>
      </w:r>
    </w:p>
  </w:endnote>
  <w:endnote w:type="continuationSeparator" w:id="0">
    <w:p w:rsidR="00925BDF" w:rsidRDefault="009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A862E8">
      <w:rPr>
        <w:noProof/>
      </w:rPr>
      <w:t>3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A862E8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DF" w:rsidRDefault="00925BDF">
      <w:r>
        <w:separator/>
      </w:r>
    </w:p>
  </w:footnote>
  <w:footnote w:type="continuationSeparator" w:id="0">
    <w:p w:rsidR="00925BDF" w:rsidRDefault="0092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5237C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4522FA"/>
    <w:rsid w:val="00520481"/>
    <w:rsid w:val="00541DE8"/>
    <w:rsid w:val="005524B3"/>
    <w:rsid w:val="0055573B"/>
    <w:rsid w:val="005675E5"/>
    <w:rsid w:val="0058021A"/>
    <w:rsid w:val="005A79A7"/>
    <w:rsid w:val="005C1409"/>
    <w:rsid w:val="00610FF2"/>
    <w:rsid w:val="0069454D"/>
    <w:rsid w:val="006C0C3F"/>
    <w:rsid w:val="00732D21"/>
    <w:rsid w:val="007709B9"/>
    <w:rsid w:val="00774B4A"/>
    <w:rsid w:val="007B7343"/>
    <w:rsid w:val="00892E8A"/>
    <w:rsid w:val="00897ED5"/>
    <w:rsid w:val="00925BDF"/>
    <w:rsid w:val="00925EDD"/>
    <w:rsid w:val="00941DA6"/>
    <w:rsid w:val="00960870"/>
    <w:rsid w:val="00970963"/>
    <w:rsid w:val="009B4E7C"/>
    <w:rsid w:val="009F5522"/>
    <w:rsid w:val="009F7363"/>
    <w:rsid w:val="00A06073"/>
    <w:rsid w:val="00A40B0E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315-76BC-45EF-A3D0-15304A4E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2021-09-02T03:52:00Z</cp:lastPrinted>
  <dcterms:created xsi:type="dcterms:W3CDTF">2021-09-02T03:53:00Z</dcterms:created>
  <dcterms:modified xsi:type="dcterms:W3CDTF">2021-09-02T03:53:00Z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