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1A" w:rsidRPr="00FA7105" w:rsidRDefault="00AD083D">
      <w:pPr>
        <w:pStyle w:val="1"/>
        <w:ind w:left="640" w:right="644"/>
        <w:rPr>
          <w:rFonts w:ascii="標楷體" w:eastAsia="標楷體" w:hAnsi="標楷體"/>
        </w:rPr>
      </w:pPr>
      <w:r w:rsidRPr="00FA7105">
        <w:rPr>
          <w:rFonts w:ascii="標楷體" w:eastAsia="標楷體" w:hAnsi="標楷體"/>
          <w:spacing w:val="-5"/>
        </w:rPr>
        <w:t>公用售電業收購合格汽電共生系統</w:t>
      </w:r>
      <w:proofErr w:type="gramStart"/>
      <w:r w:rsidRPr="00FA7105">
        <w:rPr>
          <w:rFonts w:ascii="標楷體" w:eastAsia="標楷體" w:hAnsi="標楷體"/>
          <w:spacing w:val="-5"/>
        </w:rPr>
        <w:t>餘電購</w:t>
      </w:r>
      <w:proofErr w:type="gramEnd"/>
      <w:r w:rsidRPr="00FA7105">
        <w:rPr>
          <w:rFonts w:ascii="標楷體" w:eastAsia="標楷體" w:hAnsi="標楷體"/>
          <w:spacing w:val="-5"/>
        </w:rPr>
        <w:t>電費率－</w:t>
      </w:r>
    </w:p>
    <w:p w:rsidR="00FC7E1A" w:rsidRPr="00FA7105" w:rsidRDefault="00AD083D">
      <w:pPr>
        <w:spacing w:line="563" w:lineRule="exact"/>
        <w:ind w:left="-1" w:right="1"/>
        <w:jc w:val="center"/>
        <w:rPr>
          <w:rFonts w:ascii="標楷體" w:eastAsia="標楷體" w:hAnsi="標楷體" w:hint="eastAsia"/>
          <w:b/>
          <w:sz w:val="32"/>
        </w:rPr>
      </w:pPr>
      <w:r w:rsidRPr="00FA7105">
        <w:rPr>
          <w:rFonts w:ascii="標楷體" w:eastAsia="標楷體" w:hAnsi="標楷體"/>
          <w:b/>
          <w:spacing w:val="-5"/>
          <w:sz w:val="32"/>
        </w:rPr>
        <w:t>燃料種類分別定價型基期費率</w:t>
      </w:r>
    </w:p>
    <w:p w:rsidR="00FC7E1A" w:rsidRPr="00FA7105" w:rsidRDefault="00AD083D">
      <w:pPr>
        <w:spacing w:before="248" w:line="295" w:lineRule="auto"/>
        <w:ind w:left="140" w:right="139" w:firstLine="562"/>
        <w:jc w:val="both"/>
        <w:rPr>
          <w:rFonts w:ascii="標楷體" w:eastAsia="標楷體" w:hAnsi="標楷體"/>
          <w:sz w:val="28"/>
        </w:rPr>
      </w:pPr>
      <w:r w:rsidRPr="00FA7105">
        <w:rPr>
          <w:rFonts w:ascii="標楷體" w:eastAsia="標楷體" w:hAnsi="標楷體"/>
          <w:spacing w:val="-12"/>
          <w:sz w:val="28"/>
        </w:rPr>
        <w:t>「汽電共生系統實施辦法」</w:t>
      </w:r>
      <w:r w:rsidRPr="00FA7105">
        <w:rPr>
          <w:rFonts w:ascii="標楷體" w:eastAsia="標楷體" w:hAnsi="標楷體"/>
          <w:sz w:val="28"/>
        </w:rPr>
        <w:t>（以下簡稱本辦法）</w:t>
      </w:r>
      <w:r w:rsidRPr="00FA7105">
        <w:rPr>
          <w:rFonts w:ascii="標楷體" w:eastAsia="標楷體" w:hAnsi="標楷體"/>
          <w:spacing w:val="-18"/>
          <w:sz w:val="28"/>
        </w:rPr>
        <w:t>第</w:t>
      </w:r>
      <w:r w:rsidRPr="00FA7105">
        <w:rPr>
          <w:rFonts w:ascii="標楷體" w:eastAsia="標楷體" w:hAnsi="標楷體"/>
          <w:spacing w:val="-18"/>
          <w:sz w:val="28"/>
        </w:rPr>
        <w:t xml:space="preserve"> </w:t>
      </w:r>
      <w:r w:rsidRPr="00FA7105">
        <w:rPr>
          <w:rFonts w:ascii="標楷體" w:eastAsia="標楷體" w:hAnsi="標楷體"/>
          <w:sz w:val="28"/>
        </w:rPr>
        <w:t>12</w:t>
      </w:r>
      <w:r w:rsidRPr="00FA7105">
        <w:rPr>
          <w:rFonts w:ascii="標楷體" w:eastAsia="標楷體" w:hAnsi="標楷體"/>
          <w:spacing w:val="-18"/>
          <w:sz w:val="28"/>
        </w:rPr>
        <w:t xml:space="preserve"> </w:t>
      </w:r>
      <w:r w:rsidRPr="00FA7105">
        <w:rPr>
          <w:rFonts w:ascii="標楷體" w:eastAsia="標楷體" w:hAnsi="標楷體"/>
          <w:spacing w:val="-12"/>
          <w:sz w:val="28"/>
        </w:rPr>
        <w:t>條第</w:t>
      </w:r>
      <w:r w:rsidRPr="00FA7105">
        <w:rPr>
          <w:rFonts w:ascii="標楷體" w:eastAsia="標楷體" w:hAnsi="標楷體"/>
          <w:spacing w:val="-12"/>
          <w:sz w:val="28"/>
        </w:rPr>
        <w:t xml:space="preserve"> </w:t>
      </w:r>
      <w:r w:rsidRPr="00FA7105">
        <w:rPr>
          <w:rFonts w:ascii="標楷體" w:eastAsia="標楷體" w:hAnsi="標楷體"/>
          <w:sz w:val="28"/>
        </w:rPr>
        <w:t>1</w:t>
      </w:r>
      <w:r w:rsidRPr="00FA7105">
        <w:rPr>
          <w:rFonts w:ascii="標楷體" w:eastAsia="標楷體" w:hAnsi="標楷體"/>
          <w:spacing w:val="-14"/>
          <w:sz w:val="28"/>
        </w:rPr>
        <w:t xml:space="preserve"> </w:t>
      </w:r>
      <w:r w:rsidRPr="00FA7105">
        <w:rPr>
          <w:rFonts w:ascii="標楷體" w:eastAsia="標楷體" w:hAnsi="標楷體"/>
          <w:spacing w:val="-12"/>
          <w:sz w:val="28"/>
        </w:rPr>
        <w:t>項第</w:t>
      </w:r>
      <w:r w:rsidRPr="00FA7105">
        <w:rPr>
          <w:rFonts w:ascii="標楷體" w:eastAsia="標楷體" w:hAnsi="標楷體"/>
          <w:spacing w:val="-12"/>
          <w:sz w:val="28"/>
        </w:rPr>
        <w:t xml:space="preserve"> </w:t>
      </w:r>
      <w:r w:rsidRPr="00FA7105">
        <w:rPr>
          <w:rFonts w:ascii="標楷體" w:eastAsia="標楷體" w:hAnsi="標楷體"/>
          <w:sz w:val="28"/>
        </w:rPr>
        <w:t>2</w:t>
      </w:r>
      <w:r w:rsidRPr="00FA7105">
        <w:rPr>
          <w:rFonts w:ascii="標楷體" w:eastAsia="標楷體" w:hAnsi="標楷體"/>
          <w:spacing w:val="13"/>
          <w:sz w:val="28"/>
        </w:rPr>
        <w:t xml:space="preserve"> </w:t>
      </w:r>
      <w:r w:rsidRPr="00FA7105">
        <w:rPr>
          <w:rFonts w:ascii="標楷體" w:eastAsia="標楷體" w:hAnsi="標楷體"/>
          <w:sz w:val="28"/>
        </w:rPr>
        <w:t>款之定</w:t>
      </w:r>
      <w:r w:rsidRPr="00FA7105">
        <w:rPr>
          <w:rFonts w:ascii="標楷體" w:eastAsia="標楷體" w:hAnsi="標楷體"/>
          <w:spacing w:val="-2"/>
          <w:sz w:val="28"/>
        </w:rPr>
        <w:t>價方式，反映公用售電業購買相當電源之購電成本，並依燃料種類分別定價。</w:t>
      </w:r>
      <w:r w:rsidRPr="00FA7105">
        <w:rPr>
          <w:rFonts w:ascii="標楷體" w:eastAsia="標楷體" w:hAnsi="標楷體"/>
          <w:spacing w:val="-9"/>
          <w:sz w:val="28"/>
        </w:rPr>
        <w:t>依本辦法第</w:t>
      </w:r>
      <w:r w:rsidRPr="00FA7105">
        <w:rPr>
          <w:rFonts w:ascii="標楷體" w:eastAsia="標楷體" w:hAnsi="標楷體"/>
          <w:spacing w:val="-9"/>
          <w:sz w:val="28"/>
        </w:rPr>
        <w:t xml:space="preserve"> </w:t>
      </w:r>
      <w:r w:rsidRPr="00FA7105">
        <w:rPr>
          <w:rFonts w:ascii="標楷體" w:eastAsia="標楷體" w:hAnsi="標楷體"/>
          <w:spacing w:val="-4"/>
          <w:sz w:val="28"/>
        </w:rPr>
        <w:t>13</w:t>
      </w:r>
      <w:r w:rsidRPr="00FA7105">
        <w:rPr>
          <w:rFonts w:ascii="標楷體" w:eastAsia="標楷體" w:hAnsi="標楷體"/>
          <w:spacing w:val="-14"/>
          <w:sz w:val="28"/>
        </w:rPr>
        <w:t xml:space="preserve"> </w:t>
      </w:r>
      <w:r w:rsidRPr="00FA7105">
        <w:rPr>
          <w:rFonts w:ascii="標楷體" w:eastAsia="標楷體" w:hAnsi="標楷體"/>
          <w:spacing w:val="-13"/>
          <w:sz w:val="28"/>
        </w:rPr>
        <w:t>條第</w:t>
      </w:r>
      <w:r w:rsidRPr="00FA7105">
        <w:rPr>
          <w:rFonts w:ascii="標楷體" w:eastAsia="標楷體" w:hAnsi="標楷體"/>
          <w:spacing w:val="-13"/>
          <w:sz w:val="28"/>
        </w:rPr>
        <w:t xml:space="preserve"> </w:t>
      </w:r>
      <w:r w:rsidRPr="00FA7105">
        <w:rPr>
          <w:rFonts w:ascii="標楷體" w:eastAsia="標楷體" w:hAnsi="標楷體"/>
          <w:spacing w:val="-4"/>
          <w:sz w:val="28"/>
        </w:rPr>
        <w:t>2</w:t>
      </w:r>
      <w:r w:rsidRPr="00FA7105">
        <w:rPr>
          <w:rFonts w:ascii="標楷體" w:eastAsia="標楷體" w:hAnsi="標楷體"/>
          <w:spacing w:val="-13"/>
          <w:sz w:val="28"/>
        </w:rPr>
        <w:t xml:space="preserve"> </w:t>
      </w:r>
      <w:r w:rsidRPr="00FA7105">
        <w:rPr>
          <w:rFonts w:ascii="標楷體" w:eastAsia="標楷體" w:hAnsi="標楷體"/>
          <w:spacing w:val="-11"/>
          <w:sz w:val="28"/>
        </w:rPr>
        <w:t>項及第</w:t>
      </w:r>
      <w:r w:rsidRPr="00FA7105">
        <w:rPr>
          <w:rFonts w:ascii="標楷體" w:eastAsia="標楷體" w:hAnsi="標楷體"/>
          <w:spacing w:val="-11"/>
          <w:sz w:val="28"/>
        </w:rPr>
        <w:t xml:space="preserve"> </w:t>
      </w:r>
      <w:r w:rsidRPr="00FA7105">
        <w:rPr>
          <w:rFonts w:ascii="標楷體" w:eastAsia="標楷體" w:hAnsi="標楷體"/>
          <w:spacing w:val="-4"/>
          <w:sz w:val="28"/>
        </w:rPr>
        <w:t xml:space="preserve">3 </w:t>
      </w:r>
      <w:r w:rsidRPr="00FA7105">
        <w:rPr>
          <w:rFonts w:ascii="標楷體" w:eastAsia="標楷體" w:hAnsi="標楷體"/>
          <w:spacing w:val="-4"/>
          <w:sz w:val="28"/>
        </w:rPr>
        <w:t>項規定所定之購電費率，公告容量費率及能量費</w:t>
      </w:r>
      <w:r w:rsidRPr="00FA7105">
        <w:rPr>
          <w:rFonts w:ascii="標楷體" w:eastAsia="標楷體" w:hAnsi="標楷體"/>
          <w:spacing w:val="-2"/>
          <w:sz w:val="28"/>
        </w:rPr>
        <w:t>率之基期費率如下表。</w:t>
      </w:r>
    </w:p>
    <w:p w:rsidR="00FC7E1A" w:rsidRPr="00FA7105" w:rsidRDefault="00AD083D">
      <w:pPr>
        <w:pStyle w:val="1"/>
        <w:spacing w:before="374" w:line="556" w:lineRule="exact"/>
        <w:ind w:left="644" w:right="4"/>
        <w:rPr>
          <w:rFonts w:ascii="標楷體" w:eastAsia="標楷體" w:hAnsi="標楷體"/>
        </w:rPr>
      </w:pPr>
      <w:r w:rsidRPr="00FA7105">
        <w:rPr>
          <w:rFonts w:ascii="標楷體" w:eastAsia="標楷體" w:hAnsi="標楷體"/>
          <w:spacing w:val="-6"/>
        </w:rPr>
        <w:t>基期費率表</w:t>
      </w:r>
    </w:p>
    <w:p w:rsidR="00FC7E1A" w:rsidRPr="00FA7105" w:rsidRDefault="00AD083D">
      <w:pPr>
        <w:pStyle w:val="a3"/>
        <w:spacing w:after="19" w:line="275" w:lineRule="exact"/>
        <w:ind w:right="139"/>
        <w:rPr>
          <w:rFonts w:ascii="標楷體" w:eastAsia="標楷體" w:hAnsi="標楷體"/>
        </w:rPr>
      </w:pPr>
      <w:r w:rsidRPr="00FA7105">
        <w:rPr>
          <w:rFonts w:ascii="標楷體" w:eastAsia="標楷體" w:hAnsi="標楷體"/>
          <w:spacing w:val="-3"/>
        </w:rPr>
        <w:t>單位：元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7"/>
        <w:gridCol w:w="850"/>
        <w:gridCol w:w="2040"/>
        <w:gridCol w:w="2042"/>
        <w:gridCol w:w="2040"/>
      </w:tblGrid>
      <w:tr w:rsidR="00FC7E1A" w:rsidRPr="00FA7105">
        <w:trPr>
          <w:trHeight w:val="362"/>
        </w:trPr>
        <w:tc>
          <w:tcPr>
            <w:tcW w:w="3653" w:type="dxa"/>
            <w:gridSpan w:val="3"/>
            <w:vMerge w:val="restart"/>
            <w:shd w:val="clear" w:color="auto" w:fill="F1F1F1"/>
          </w:tcPr>
          <w:p w:rsidR="00FC7E1A" w:rsidRPr="00FA7105" w:rsidRDefault="00FC7E1A">
            <w:pPr>
              <w:pStyle w:val="TableParagraph"/>
              <w:spacing w:before="82"/>
              <w:ind w:left="0"/>
              <w:jc w:val="left"/>
              <w:rPr>
                <w:rFonts w:ascii="標楷體" w:eastAsia="標楷體" w:hAnsi="標楷體"/>
                <w:sz w:val="28"/>
              </w:rPr>
            </w:pPr>
          </w:p>
          <w:p w:rsidR="00FC7E1A" w:rsidRPr="00FA7105" w:rsidRDefault="00AD083D">
            <w:pPr>
              <w:pStyle w:val="TableParagraph"/>
              <w:spacing w:before="1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5"/>
                <w:sz w:val="28"/>
              </w:rPr>
              <w:t>項目</w:t>
            </w:r>
          </w:p>
        </w:tc>
        <w:tc>
          <w:tcPr>
            <w:tcW w:w="4082" w:type="dxa"/>
            <w:gridSpan w:val="2"/>
            <w:shd w:val="clear" w:color="auto" w:fill="F1F1F1"/>
          </w:tcPr>
          <w:p w:rsidR="00FC7E1A" w:rsidRPr="00FA7105" w:rsidRDefault="00AD083D">
            <w:pPr>
              <w:pStyle w:val="TableParagraph"/>
              <w:spacing w:line="343" w:lineRule="exact"/>
              <w:ind w:left="14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3"/>
                <w:sz w:val="28"/>
              </w:rPr>
              <w:t>燃氣費率</w:t>
            </w:r>
          </w:p>
        </w:tc>
        <w:tc>
          <w:tcPr>
            <w:tcW w:w="2040" w:type="dxa"/>
            <w:vMerge w:val="restart"/>
            <w:shd w:val="clear" w:color="auto" w:fill="F1F1F1"/>
          </w:tcPr>
          <w:p w:rsidR="00FC7E1A" w:rsidRPr="00FA7105" w:rsidRDefault="00FC7E1A">
            <w:pPr>
              <w:pStyle w:val="TableParagraph"/>
              <w:spacing w:before="82"/>
              <w:ind w:left="0"/>
              <w:jc w:val="left"/>
              <w:rPr>
                <w:rFonts w:ascii="標楷體" w:eastAsia="標楷體" w:hAnsi="標楷體"/>
                <w:sz w:val="28"/>
              </w:rPr>
            </w:pPr>
          </w:p>
          <w:p w:rsidR="00FC7E1A" w:rsidRPr="00FA7105" w:rsidRDefault="00AD083D">
            <w:pPr>
              <w:pStyle w:val="TableParagraph"/>
              <w:spacing w:before="1"/>
              <w:ind w:left="459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3"/>
                <w:sz w:val="28"/>
              </w:rPr>
              <w:t>燃煤費率</w:t>
            </w:r>
          </w:p>
        </w:tc>
      </w:tr>
      <w:tr w:rsidR="00FC7E1A" w:rsidRPr="00FA7105">
        <w:trPr>
          <w:trHeight w:val="1094"/>
        </w:trPr>
        <w:tc>
          <w:tcPr>
            <w:tcW w:w="3653" w:type="dxa"/>
            <w:gridSpan w:val="3"/>
            <w:vMerge/>
            <w:tcBorders>
              <w:top w:val="nil"/>
            </w:tcBorders>
            <w:shd w:val="clear" w:color="auto" w:fill="F1F1F1"/>
          </w:tcPr>
          <w:p w:rsidR="00FC7E1A" w:rsidRPr="00FA7105" w:rsidRDefault="00FC7E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40" w:type="dxa"/>
            <w:shd w:val="clear" w:color="auto" w:fill="F1F1F1"/>
          </w:tcPr>
          <w:p w:rsidR="00FC7E1A" w:rsidRPr="00FA7105" w:rsidRDefault="00AD083D">
            <w:pPr>
              <w:pStyle w:val="TableParagraph"/>
              <w:spacing w:before="5" w:line="168" w:lineRule="auto"/>
              <w:ind w:left="108" w:right="93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20"/>
                <w:sz w:val="28"/>
              </w:rPr>
              <w:t>向台灣中油股份有限公司</w:t>
            </w:r>
            <w:proofErr w:type="gramStart"/>
            <w:r w:rsidRPr="00FA7105">
              <w:rPr>
                <w:rFonts w:ascii="標楷體" w:eastAsia="標楷體" w:hAnsi="標楷體"/>
                <w:b/>
                <w:spacing w:val="20"/>
                <w:sz w:val="28"/>
              </w:rPr>
              <w:t>採</w:t>
            </w:r>
            <w:proofErr w:type="gramEnd"/>
          </w:p>
          <w:p w:rsidR="00FC7E1A" w:rsidRPr="00FA7105" w:rsidRDefault="00AD083D">
            <w:pPr>
              <w:pStyle w:val="TableParagraph"/>
              <w:spacing w:line="348" w:lineRule="exact"/>
              <w:ind w:left="108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2"/>
                <w:sz w:val="28"/>
              </w:rPr>
              <w:t>購天然氣者</w:t>
            </w:r>
          </w:p>
        </w:tc>
        <w:tc>
          <w:tcPr>
            <w:tcW w:w="2042" w:type="dxa"/>
            <w:shd w:val="clear" w:color="auto" w:fill="F1F1F1"/>
          </w:tcPr>
          <w:p w:rsidR="00FC7E1A" w:rsidRPr="00FA7105" w:rsidRDefault="00AD083D">
            <w:pPr>
              <w:pStyle w:val="TableParagraph"/>
              <w:spacing w:before="188" w:line="168" w:lineRule="auto"/>
              <w:ind w:left="111" w:right="93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20"/>
                <w:sz w:val="28"/>
              </w:rPr>
              <w:t>自行進口天然</w:t>
            </w:r>
            <w:r w:rsidRPr="00FA7105">
              <w:rPr>
                <w:rFonts w:ascii="標楷體" w:eastAsia="標楷體" w:hAnsi="標楷體"/>
                <w:b/>
                <w:spacing w:val="-6"/>
                <w:sz w:val="28"/>
              </w:rPr>
              <w:t>氣者</w:t>
            </w:r>
          </w:p>
        </w:tc>
        <w:tc>
          <w:tcPr>
            <w:tcW w:w="2040" w:type="dxa"/>
            <w:vMerge/>
            <w:tcBorders>
              <w:top w:val="nil"/>
            </w:tcBorders>
            <w:shd w:val="clear" w:color="auto" w:fill="F1F1F1"/>
          </w:tcPr>
          <w:p w:rsidR="00FC7E1A" w:rsidRPr="00FA7105" w:rsidRDefault="00FC7E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C7E1A" w:rsidRPr="00FA7105">
        <w:trPr>
          <w:trHeight w:val="479"/>
        </w:trPr>
        <w:tc>
          <w:tcPr>
            <w:tcW w:w="816" w:type="dxa"/>
            <w:vMerge w:val="restart"/>
          </w:tcPr>
          <w:p w:rsidR="00FC7E1A" w:rsidRPr="00FA7105" w:rsidRDefault="00FC7E1A">
            <w:pPr>
              <w:pStyle w:val="TableParagraph"/>
              <w:spacing w:before="5"/>
              <w:ind w:left="0"/>
              <w:jc w:val="left"/>
              <w:rPr>
                <w:rFonts w:ascii="標楷體" w:eastAsia="標楷體" w:hAnsi="標楷體"/>
                <w:sz w:val="28"/>
              </w:rPr>
            </w:pPr>
          </w:p>
          <w:p w:rsidR="00FC7E1A" w:rsidRPr="00FA7105" w:rsidRDefault="00AD083D">
            <w:pPr>
              <w:pStyle w:val="TableParagraph"/>
              <w:spacing w:line="170" w:lineRule="auto"/>
              <w:ind w:left="127" w:right="115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6"/>
                <w:sz w:val="28"/>
              </w:rPr>
              <w:t>容量</w:t>
            </w:r>
            <w:r w:rsidRPr="00FA7105">
              <w:rPr>
                <w:rFonts w:ascii="標楷體" w:eastAsia="標楷體" w:hAnsi="標楷體"/>
                <w:b/>
                <w:spacing w:val="-5"/>
                <w:sz w:val="28"/>
              </w:rPr>
              <w:t>費率</w:t>
            </w:r>
          </w:p>
        </w:tc>
        <w:tc>
          <w:tcPr>
            <w:tcW w:w="1987" w:type="dxa"/>
          </w:tcPr>
          <w:p w:rsidR="00FC7E1A" w:rsidRPr="00FA7105" w:rsidRDefault="00AD083D">
            <w:pPr>
              <w:pStyle w:val="TableParagraph"/>
              <w:spacing w:before="41"/>
              <w:ind w:left="15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3"/>
                <w:sz w:val="28"/>
              </w:rPr>
              <w:t>設備費率</w:t>
            </w:r>
          </w:p>
        </w:tc>
        <w:tc>
          <w:tcPr>
            <w:tcW w:w="850" w:type="dxa"/>
          </w:tcPr>
          <w:p w:rsidR="00FC7E1A" w:rsidRPr="00FA7105" w:rsidRDefault="00AD083D">
            <w:pPr>
              <w:pStyle w:val="TableParagraph"/>
              <w:spacing w:before="41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5"/>
                <w:sz w:val="28"/>
              </w:rPr>
              <w:t>每度</w:t>
            </w:r>
          </w:p>
        </w:tc>
        <w:tc>
          <w:tcPr>
            <w:tcW w:w="6122" w:type="dxa"/>
            <w:gridSpan w:val="3"/>
          </w:tcPr>
          <w:p w:rsidR="00FC7E1A" w:rsidRPr="00FA7105" w:rsidRDefault="00AD083D">
            <w:pPr>
              <w:pStyle w:val="TableParagraph"/>
              <w:spacing w:before="72"/>
              <w:ind w:left="13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2"/>
                <w:sz w:val="28"/>
              </w:rPr>
              <w:t>1.9883</w:t>
            </w:r>
          </w:p>
        </w:tc>
      </w:tr>
      <w:tr w:rsidR="00FC7E1A" w:rsidRPr="00FA7105">
        <w:trPr>
          <w:trHeight w:val="477"/>
        </w:trPr>
        <w:tc>
          <w:tcPr>
            <w:tcW w:w="816" w:type="dxa"/>
            <w:vMerge/>
            <w:tcBorders>
              <w:top w:val="nil"/>
            </w:tcBorders>
          </w:tcPr>
          <w:p w:rsidR="00FC7E1A" w:rsidRPr="00FA7105" w:rsidRDefault="00FC7E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7" w:type="dxa"/>
          </w:tcPr>
          <w:p w:rsidR="00FC7E1A" w:rsidRPr="00FA7105" w:rsidRDefault="00AD083D">
            <w:pPr>
              <w:pStyle w:val="TableParagraph"/>
              <w:spacing w:before="41"/>
              <w:ind w:left="15" w:right="2"/>
              <w:rPr>
                <w:rFonts w:ascii="標楷體" w:eastAsia="標楷體" w:hAnsi="標楷體"/>
                <w:sz w:val="28"/>
              </w:rPr>
            </w:pPr>
            <w:proofErr w:type="gramStart"/>
            <w:r w:rsidRPr="00FA7105">
              <w:rPr>
                <w:rFonts w:ascii="標楷體" w:eastAsia="標楷體" w:hAnsi="標楷體"/>
                <w:spacing w:val="-4"/>
                <w:sz w:val="28"/>
              </w:rPr>
              <w:t>固定運維</w:t>
            </w:r>
            <w:proofErr w:type="gramEnd"/>
            <w:r w:rsidRPr="00FA7105">
              <w:rPr>
                <w:rFonts w:ascii="標楷體" w:eastAsia="標楷體" w:hAnsi="標楷體"/>
                <w:spacing w:val="-4"/>
                <w:sz w:val="28"/>
              </w:rPr>
              <w:t>費率</w:t>
            </w:r>
          </w:p>
        </w:tc>
        <w:tc>
          <w:tcPr>
            <w:tcW w:w="850" w:type="dxa"/>
          </w:tcPr>
          <w:p w:rsidR="00FC7E1A" w:rsidRPr="00FA7105" w:rsidRDefault="00AD083D">
            <w:pPr>
              <w:pStyle w:val="TableParagraph"/>
              <w:spacing w:before="41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5"/>
                <w:sz w:val="28"/>
              </w:rPr>
              <w:t>每度</w:t>
            </w:r>
          </w:p>
        </w:tc>
        <w:tc>
          <w:tcPr>
            <w:tcW w:w="6122" w:type="dxa"/>
            <w:gridSpan w:val="3"/>
          </w:tcPr>
          <w:p w:rsidR="00FC7E1A" w:rsidRPr="00FA7105" w:rsidRDefault="00AD083D">
            <w:pPr>
              <w:pStyle w:val="TableParagraph"/>
              <w:spacing w:before="72"/>
              <w:ind w:left="13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2"/>
                <w:sz w:val="28"/>
              </w:rPr>
              <w:t>0.3517</w:t>
            </w:r>
          </w:p>
        </w:tc>
      </w:tr>
      <w:tr w:rsidR="00FC7E1A" w:rsidRPr="00FA7105">
        <w:trPr>
          <w:trHeight w:val="479"/>
        </w:trPr>
        <w:tc>
          <w:tcPr>
            <w:tcW w:w="816" w:type="dxa"/>
            <w:vMerge/>
            <w:tcBorders>
              <w:top w:val="nil"/>
            </w:tcBorders>
          </w:tcPr>
          <w:p w:rsidR="00FC7E1A" w:rsidRPr="00FA7105" w:rsidRDefault="00FC7E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7" w:type="dxa"/>
          </w:tcPr>
          <w:p w:rsidR="00FC7E1A" w:rsidRPr="00FA7105" w:rsidRDefault="00AD083D">
            <w:pPr>
              <w:pStyle w:val="TableParagraph"/>
              <w:spacing w:line="460" w:lineRule="exact"/>
              <w:ind w:left="15" w:right="5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5"/>
                <w:sz w:val="28"/>
              </w:rPr>
              <w:t>小計</w:t>
            </w:r>
          </w:p>
        </w:tc>
        <w:tc>
          <w:tcPr>
            <w:tcW w:w="850" w:type="dxa"/>
          </w:tcPr>
          <w:p w:rsidR="00FC7E1A" w:rsidRPr="00FA7105" w:rsidRDefault="00AD083D">
            <w:pPr>
              <w:pStyle w:val="TableParagraph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5"/>
                <w:sz w:val="28"/>
              </w:rPr>
              <w:t>每度</w:t>
            </w:r>
          </w:p>
        </w:tc>
        <w:tc>
          <w:tcPr>
            <w:tcW w:w="6122" w:type="dxa"/>
            <w:gridSpan w:val="3"/>
          </w:tcPr>
          <w:p w:rsidR="00FC7E1A" w:rsidRPr="00FA7105" w:rsidRDefault="00AD083D">
            <w:pPr>
              <w:pStyle w:val="TableParagraph"/>
              <w:spacing w:before="76"/>
              <w:ind w:left="13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2"/>
                <w:sz w:val="28"/>
              </w:rPr>
              <w:t>2.3400</w:t>
            </w:r>
          </w:p>
        </w:tc>
      </w:tr>
      <w:tr w:rsidR="00FC7E1A" w:rsidRPr="00FA7105">
        <w:trPr>
          <w:trHeight w:val="479"/>
        </w:trPr>
        <w:tc>
          <w:tcPr>
            <w:tcW w:w="816" w:type="dxa"/>
            <w:vMerge w:val="restart"/>
          </w:tcPr>
          <w:p w:rsidR="00FC7E1A" w:rsidRPr="00FA7105" w:rsidRDefault="00FC7E1A">
            <w:pPr>
              <w:pStyle w:val="TableParagraph"/>
              <w:spacing w:before="5"/>
              <w:ind w:left="0"/>
              <w:jc w:val="left"/>
              <w:rPr>
                <w:rFonts w:ascii="標楷體" w:eastAsia="標楷體" w:hAnsi="標楷體"/>
                <w:sz w:val="28"/>
              </w:rPr>
            </w:pPr>
          </w:p>
          <w:p w:rsidR="00FC7E1A" w:rsidRPr="00FA7105" w:rsidRDefault="00AD083D">
            <w:pPr>
              <w:pStyle w:val="TableParagraph"/>
              <w:spacing w:line="170" w:lineRule="auto"/>
              <w:ind w:left="127" w:right="115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6"/>
                <w:sz w:val="28"/>
              </w:rPr>
              <w:t>能量</w:t>
            </w:r>
            <w:r w:rsidRPr="00FA7105">
              <w:rPr>
                <w:rFonts w:ascii="標楷體" w:eastAsia="標楷體" w:hAnsi="標楷體"/>
                <w:b/>
                <w:spacing w:val="-5"/>
                <w:sz w:val="28"/>
              </w:rPr>
              <w:t>費率</w:t>
            </w:r>
          </w:p>
        </w:tc>
        <w:tc>
          <w:tcPr>
            <w:tcW w:w="1987" w:type="dxa"/>
          </w:tcPr>
          <w:p w:rsidR="00FC7E1A" w:rsidRPr="00FA7105" w:rsidRDefault="00AD083D">
            <w:pPr>
              <w:pStyle w:val="TableParagraph"/>
              <w:spacing w:before="41"/>
              <w:ind w:left="15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3"/>
                <w:sz w:val="28"/>
              </w:rPr>
              <w:t>燃料費率</w:t>
            </w:r>
          </w:p>
        </w:tc>
        <w:tc>
          <w:tcPr>
            <w:tcW w:w="850" w:type="dxa"/>
          </w:tcPr>
          <w:p w:rsidR="00FC7E1A" w:rsidRPr="00FA7105" w:rsidRDefault="00AD083D">
            <w:pPr>
              <w:pStyle w:val="TableParagraph"/>
              <w:spacing w:before="41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5"/>
                <w:sz w:val="28"/>
              </w:rPr>
              <w:t>每度</w:t>
            </w:r>
          </w:p>
        </w:tc>
        <w:tc>
          <w:tcPr>
            <w:tcW w:w="2040" w:type="dxa"/>
          </w:tcPr>
          <w:p w:rsidR="00FC7E1A" w:rsidRPr="00FA7105" w:rsidRDefault="00AD083D">
            <w:pPr>
              <w:pStyle w:val="TableParagraph"/>
              <w:spacing w:before="72"/>
              <w:ind w:left="12" w:right="3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2"/>
                <w:sz w:val="28"/>
              </w:rPr>
              <w:t>3.1431</w:t>
            </w:r>
          </w:p>
        </w:tc>
        <w:tc>
          <w:tcPr>
            <w:tcW w:w="2042" w:type="dxa"/>
          </w:tcPr>
          <w:p w:rsidR="00FC7E1A" w:rsidRPr="00FA7105" w:rsidRDefault="00AD083D">
            <w:pPr>
              <w:pStyle w:val="TableParagraph"/>
              <w:spacing w:before="72"/>
              <w:ind w:left="13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2"/>
                <w:sz w:val="28"/>
              </w:rPr>
              <w:t>3.1431</w:t>
            </w:r>
          </w:p>
        </w:tc>
        <w:tc>
          <w:tcPr>
            <w:tcW w:w="2040" w:type="dxa"/>
          </w:tcPr>
          <w:p w:rsidR="00FC7E1A" w:rsidRPr="00FA7105" w:rsidRDefault="00AD083D">
            <w:pPr>
              <w:pStyle w:val="TableParagraph"/>
              <w:spacing w:before="72"/>
              <w:ind w:left="12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2"/>
                <w:sz w:val="28"/>
              </w:rPr>
              <w:t>2.3770</w:t>
            </w:r>
          </w:p>
        </w:tc>
      </w:tr>
      <w:tr w:rsidR="00FC7E1A" w:rsidRPr="00FA7105">
        <w:trPr>
          <w:trHeight w:val="479"/>
        </w:trPr>
        <w:tc>
          <w:tcPr>
            <w:tcW w:w="816" w:type="dxa"/>
            <w:vMerge/>
            <w:tcBorders>
              <w:top w:val="nil"/>
            </w:tcBorders>
          </w:tcPr>
          <w:p w:rsidR="00FC7E1A" w:rsidRPr="00FA7105" w:rsidRDefault="00FC7E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7" w:type="dxa"/>
          </w:tcPr>
          <w:p w:rsidR="00FC7E1A" w:rsidRPr="00FA7105" w:rsidRDefault="00AD083D">
            <w:pPr>
              <w:pStyle w:val="TableParagraph"/>
              <w:spacing w:before="41"/>
              <w:ind w:left="15" w:right="2"/>
              <w:rPr>
                <w:rFonts w:ascii="標楷體" w:eastAsia="標楷體" w:hAnsi="標楷體"/>
                <w:sz w:val="28"/>
              </w:rPr>
            </w:pPr>
            <w:proofErr w:type="gramStart"/>
            <w:r w:rsidRPr="00FA7105">
              <w:rPr>
                <w:rFonts w:ascii="標楷體" w:eastAsia="標楷體" w:hAnsi="標楷體"/>
                <w:spacing w:val="-4"/>
                <w:sz w:val="28"/>
              </w:rPr>
              <w:t>變動運維費率</w:t>
            </w:r>
            <w:proofErr w:type="gramEnd"/>
          </w:p>
        </w:tc>
        <w:tc>
          <w:tcPr>
            <w:tcW w:w="850" w:type="dxa"/>
          </w:tcPr>
          <w:p w:rsidR="00FC7E1A" w:rsidRPr="00FA7105" w:rsidRDefault="00AD083D">
            <w:pPr>
              <w:pStyle w:val="TableParagraph"/>
              <w:spacing w:before="41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5"/>
                <w:sz w:val="28"/>
              </w:rPr>
              <w:t>每度</w:t>
            </w:r>
          </w:p>
        </w:tc>
        <w:tc>
          <w:tcPr>
            <w:tcW w:w="2040" w:type="dxa"/>
          </w:tcPr>
          <w:p w:rsidR="00FC7E1A" w:rsidRPr="00FA7105" w:rsidRDefault="00AD083D">
            <w:pPr>
              <w:pStyle w:val="TableParagraph"/>
              <w:spacing w:before="72"/>
              <w:ind w:left="12" w:right="2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2"/>
                <w:sz w:val="28"/>
              </w:rPr>
              <w:t>0.0236</w:t>
            </w:r>
          </w:p>
        </w:tc>
        <w:tc>
          <w:tcPr>
            <w:tcW w:w="2042" w:type="dxa"/>
          </w:tcPr>
          <w:p w:rsidR="00FC7E1A" w:rsidRPr="00FA7105" w:rsidRDefault="00AD083D">
            <w:pPr>
              <w:pStyle w:val="TableParagraph"/>
              <w:spacing w:before="72"/>
              <w:ind w:left="13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2"/>
                <w:sz w:val="28"/>
              </w:rPr>
              <w:t>0.0236</w:t>
            </w:r>
          </w:p>
        </w:tc>
        <w:tc>
          <w:tcPr>
            <w:tcW w:w="2040" w:type="dxa"/>
          </w:tcPr>
          <w:p w:rsidR="00FC7E1A" w:rsidRPr="00FA7105" w:rsidRDefault="00AD083D">
            <w:pPr>
              <w:pStyle w:val="TableParagraph"/>
              <w:spacing w:before="72"/>
              <w:ind w:left="12"/>
              <w:rPr>
                <w:rFonts w:ascii="標楷體" w:eastAsia="標楷體" w:hAnsi="標楷體"/>
                <w:sz w:val="28"/>
              </w:rPr>
            </w:pPr>
            <w:r w:rsidRPr="00FA7105">
              <w:rPr>
                <w:rFonts w:ascii="標楷體" w:eastAsia="標楷體" w:hAnsi="標楷體"/>
                <w:spacing w:val="-2"/>
                <w:sz w:val="28"/>
              </w:rPr>
              <w:t>0.0486</w:t>
            </w:r>
          </w:p>
        </w:tc>
      </w:tr>
      <w:tr w:rsidR="00FC7E1A" w:rsidRPr="00FA7105">
        <w:trPr>
          <w:trHeight w:val="479"/>
        </w:trPr>
        <w:tc>
          <w:tcPr>
            <w:tcW w:w="816" w:type="dxa"/>
            <w:vMerge/>
            <w:tcBorders>
              <w:top w:val="nil"/>
            </w:tcBorders>
          </w:tcPr>
          <w:p w:rsidR="00FC7E1A" w:rsidRPr="00FA7105" w:rsidRDefault="00FC7E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7" w:type="dxa"/>
          </w:tcPr>
          <w:p w:rsidR="00FC7E1A" w:rsidRPr="00FA7105" w:rsidRDefault="00AD083D">
            <w:pPr>
              <w:pStyle w:val="TableParagraph"/>
              <w:spacing w:line="460" w:lineRule="exact"/>
              <w:ind w:left="15" w:right="5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5"/>
                <w:sz w:val="28"/>
              </w:rPr>
              <w:t>小計</w:t>
            </w:r>
          </w:p>
        </w:tc>
        <w:tc>
          <w:tcPr>
            <w:tcW w:w="850" w:type="dxa"/>
          </w:tcPr>
          <w:p w:rsidR="00FC7E1A" w:rsidRPr="00FA7105" w:rsidRDefault="00AD083D">
            <w:pPr>
              <w:pStyle w:val="TableParagraph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5"/>
                <w:sz w:val="28"/>
              </w:rPr>
              <w:t>每度</w:t>
            </w:r>
          </w:p>
        </w:tc>
        <w:tc>
          <w:tcPr>
            <w:tcW w:w="2040" w:type="dxa"/>
          </w:tcPr>
          <w:p w:rsidR="00FC7E1A" w:rsidRPr="00FA7105" w:rsidRDefault="00AD083D">
            <w:pPr>
              <w:pStyle w:val="TableParagraph"/>
              <w:spacing w:before="77"/>
              <w:ind w:left="12" w:right="2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2"/>
                <w:sz w:val="28"/>
              </w:rPr>
              <w:t>3.1667</w:t>
            </w:r>
          </w:p>
        </w:tc>
        <w:tc>
          <w:tcPr>
            <w:tcW w:w="2042" w:type="dxa"/>
          </w:tcPr>
          <w:p w:rsidR="00FC7E1A" w:rsidRPr="00FA7105" w:rsidRDefault="00AD083D">
            <w:pPr>
              <w:pStyle w:val="TableParagraph"/>
              <w:spacing w:before="77"/>
              <w:ind w:left="13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2"/>
                <w:sz w:val="28"/>
              </w:rPr>
              <w:t>3.1667</w:t>
            </w:r>
          </w:p>
        </w:tc>
        <w:tc>
          <w:tcPr>
            <w:tcW w:w="2040" w:type="dxa"/>
          </w:tcPr>
          <w:p w:rsidR="00FC7E1A" w:rsidRPr="00FA7105" w:rsidRDefault="00AD083D">
            <w:pPr>
              <w:pStyle w:val="TableParagraph"/>
              <w:spacing w:before="77"/>
              <w:ind w:left="12"/>
              <w:rPr>
                <w:rFonts w:ascii="標楷體" w:eastAsia="標楷體" w:hAnsi="標楷體"/>
                <w:b/>
                <w:sz w:val="28"/>
              </w:rPr>
            </w:pPr>
            <w:r w:rsidRPr="00FA7105">
              <w:rPr>
                <w:rFonts w:ascii="標楷體" w:eastAsia="標楷體" w:hAnsi="標楷體"/>
                <w:b/>
                <w:spacing w:val="-2"/>
                <w:sz w:val="28"/>
              </w:rPr>
              <w:t>2.4256</w:t>
            </w:r>
          </w:p>
        </w:tc>
      </w:tr>
    </w:tbl>
    <w:p w:rsidR="00FA7105" w:rsidRPr="00FA7105" w:rsidRDefault="00FA7105" w:rsidP="00FA7105">
      <w:pPr>
        <w:pStyle w:val="Default"/>
        <w:rPr>
          <w:rFonts w:hAnsi="標楷體"/>
          <w:sz w:val="26"/>
          <w:szCs w:val="26"/>
          <w:lang w:eastAsia="zh-TW"/>
        </w:rPr>
      </w:pPr>
      <w:r>
        <w:rPr>
          <w:rFonts w:hAnsi="標楷體" w:hint="eastAsia"/>
          <w:lang w:eastAsia="zh-TW"/>
        </w:rPr>
        <w:t xml:space="preserve"> </w:t>
      </w:r>
      <w:proofErr w:type="gramStart"/>
      <w:r w:rsidRPr="00FA7105">
        <w:rPr>
          <w:rFonts w:hAnsi="標楷體" w:hint="eastAsia"/>
          <w:sz w:val="26"/>
          <w:szCs w:val="26"/>
          <w:lang w:eastAsia="zh-TW"/>
        </w:rPr>
        <w:t>註</w:t>
      </w:r>
      <w:proofErr w:type="gramEnd"/>
      <w:r w:rsidRPr="00FA7105">
        <w:rPr>
          <w:rFonts w:hAnsi="標楷體" w:hint="eastAsia"/>
          <w:sz w:val="26"/>
          <w:szCs w:val="26"/>
          <w:lang w:eastAsia="zh-TW"/>
        </w:rPr>
        <w:t>：</w:t>
      </w:r>
      <w:r w:rsidRPr="00FA7105">
        <w:rPr>
          <w:rFonts w:hAnsi="標楷體" w:cs="Times New Roman"/>
          <w:sz w:val="26"/>
          <w:szCs w:val="26"/>
          <w:lang w:eastAsia="zh-TW"/>
        </w:rPr>
        <w:t>1.</w:t>
      </w:r>
      <w:r w:rsidRPr="00FA7105">
        <w:rPr>
          <w:rFonts w:hAnsi="標楷體" w:hint="eastAsia"/>
          <w:sz w:val="26"/>
          <w:szCs w:val="26"/>
          <w:lang w:eastAsia="zh-TW"/>
        </w:rPr>
        <w:t>各項費率計算公式之計算</w:t>
      </w:r>
      <w:proofErr w:type="gramStart"/>
      <w:r w:rsidRPr="00FA7105">
        <w:rPr>
          <w:rFonts w:hAnsi="標楷體" w:hint="eastAsia"/>
          <w:sz w:val="26"/>
          <w:szCs w:val="26"/>
          <w:lang w:eastAsia="zh-TW"/>
        </w:rPr>
        <w:t>結果均不含</w:t>
      </w:r>
      <w:proofErr w:type="gramEnd"/>
      <w:r w:rsidRPr="00FA7105">
        <w:rPr>
          <w:rFonts w:hAnsi="標楷體" w:hint="eastAsia"/>
          <w:sz w:val="26"/>
          <w:szCs w:val="26"/>
          <w:lang w:eastAsia="zh-TW"/>
        </w:rPr>
        <w:t>營業稅，公用售電業應自行計入營業稅。</w:t>
      </w:r>
    </w:p>
    <w:p w:rsidR="00FA7105" w:rsidRPr="00FA7105" w:rsidRDefault="00FA7105" w:rsidP="00FA7105">
      <w:pPr>
        <w:pStyle w:val="Default"/>
        <w:ind w:leftChars="1" w:left="920" w:hangingChars="353" w:hanging="918"/>
        <w:rPr>
          <w:rFonts w:hAnsi="標楷體"/>
          <w:sz w:val="26"/>
          <w:szCs w:val="26"/>
          <w:lang w:eastAsia="zh-TW"/>
        </w:rPr>
      </w:pPr>
      <w:r w:rsidRPr="00FA7105">
        <w:rPr>
          <w:rFonts w:hAnsi="標楷體" w:cs="Times New Roman" w:hint="eastAsia"/>
          <w:sz w:val="26"/>
          <w:szCs w:val="26"/>
          <w:lang w:eastAsia="zh-TW"/>
        </w:rPr>
        <w:t xml:space="preserve">     </w:t>
      </w:r>
      <w:r w:rsidRPr="00FA7105">
        <w:rPr>
          <w:rFonts w:hAnsi="標楷體" w:cs="Times New Roman"/>
          <w:sz w:val="26"/>
          <w:szCs w:val="26"/>
          <w:lang w:eastAsia="zh-TW"/>
        </w:rPr>
        <w:t>2.</w:t>
      </w:r>
      <w:r w:rsidRPr="00FA7105">
        <w:rPr>
          <w:rFonts w:hAnsi="標楷體" w:hint="eastAsia"/>
          <w:sz w:val="26"/>
          <w:szCs w:val="26"/>
          <w:lang w:eastAsia="zh-TW"/>
        </w:rPr>
        <w:t>依據</w:t>
      </w:r>
      <w:r w:rsidRPr="00FA7105">
        <w:rPr>
          <w:rFonts w:hAnsi="標楷體" w:cs="Times New Roman"/>
          <w:sz w:val="26"/>
          <w:szCs w:val="26"/>
          <w:lang w:eastAsia="zh-TW"/>
        </w:rPr>
        <w:t>113</w:t>
      </w:r>
      <w:r w:rsidRPr="00FA7105">
        <w:rPr>
          <w:rFonts w:hAnsi="標楷體" w:hint="eastAsia"/>
          <w:sz w:val="26"/>
          <w:szCs w:val="26"/>
          <w:lang w:eastAsia="zh-TW"/>
        </w:rPr>
        <w:t>年</w:t>
      </w:r>
      <w:r w:rsidRPr="00FA7105">
        <w:rPr>
          <w:rFonts w:hAnsi="標楷體" w:cs="Times New Roman"/>
          <w:sz w:val="26"/>
          <w:szCs w:val="26"/>
          <w:lang w:eastAsia="zh-TW"/>
        </w:rPr>
        <w:t>7</w:t>
      </w:r>
      <w:r w:rsidRPr="00FA7105">
        <w:rPr>
          <w:rFonts w:hAnsi="標楷體" w:hint="eastAsia"/>
          <w:sz w:val="26"/>
          <w:szCs w:val="26"/>
          <w:lang w:eastAsia="zh-TW"/>
        </w:rPr>
        <w:t>月燃料煤</w:t>
      </w:r>
      <w:r w:rsidRPr="00FA7105">
        <w:rPr>
          <w:rFonts w:hAnsi="標楷體" w:cs="Times New Roman"/>
          <w:sz w:val="26"/>
          <w:szCs w:val="26"/>
          <w:lang w:eastAsia="zh-TW"/>
        </w:rPr>
        <w:t>CIF</w:t>
      </w:r>
      <w:r w:rsidRPr="00FA7105">
        <w:rPr>
          <w:rFonts w:hAnsi="標楷體" w:hint="eastAsia"/>
          <w:sz w:val="26"/>
          <w:szCs w:val="26"/>
          <w:lang w:eastAsia="zh-TW"/>
        </w:rPr>
        <w:t>價格為</w:t>
      </w:r>
      <w:r w:rsidRPr="00FA7105">
        <w:rPr>
          <w:rFonts w:hAnsi="標楷體" w:cs="Times New Roman"/>
          <w:sz w:val="26"/>
          <w:szCs w:val="26"/>
          <w:lang w:eastAsia="zh-TW"/>
        </w:rPr>
        <w:t>159.5164</w:t>
      </w:r>
      <w:r w:rsidRPr="00FA7105">
        <w:rPr>
          <w:rFonts w:hAnsi="標楷體" w:hint="eastAsia"/>
          <w:sz w:val="26"/>
          <w:szCs w:val="26"/>
          <w:lang w:eastAsia="zh-TW"/>
        </w:rPr>
        <w:t>美元</w:t>
      </w:r>
      <w:r w:rsidRPr="00FA7105">
        <w:rPr>
          <w:rFonts w:hAnsi="標楷體" w:cs="Times New Roman"/>
          <w:sz w:val="26"/>
          <w:szCs w:val="26"/>
          <w:lang w:eastAsia="zh-TW"/>
        </w:rPr>
        <w:t>/</w:t>
      </w:r>
      <w:r w:rsidRPr="00FA7105">
        <w:rPr>
          <w:rFonts w:hAnsi="標楷體" w:hint="eastAsia"/>
          <w:sz w:val="26"/>
          <w:szCs w:val="26"/>
          <w:lang w:eastAsia="zh-TW"/>
        </w:rPr>
        <w:t>公噸、匯率為</w:t>
      </w:r>
      <w:r w:rsidRPr="00FA7105">
        <w:rPr>
          <w:rFonts w:hAnsi="標楷體" w:cs="Times New Roman"/>
          <w:sz w:val="26"/>
          <w:szCs w:val="26"/>
          <w:lang w:eastAsia="zh-TW"/>
        </w:rPr>
        <w:t>32.6503</w:t>
      </w:r>
      <w:r w:rsidRPr="00FA7105">
        <w:rPr>
          <w:rFonts w:hAnsi="標楷體" w:hint="eastAsia"/>
          <w:sz w:val="26"/>
          <w:szCs w:val="26"/>
          <w:lang w:eastAsia="zh-TW"/>
        </w:rPr>
        <w:t>元</w:t>
      </w:r>
      <w:r w:rsidRPr="00FA7105">
        <w:rPr>
          <w:rFonts w:hAnsi="標楷體" w:cs="Times New Roman"/>
          <w:sz w:val="26"/>
          <w:szCs w:val="26"/>
          <w:lang w:eastAsia="zh-TW"/>
        </w:rPr>
        <w:t>/</w:t>
      </w:r>
      <w:r w:rsidRPr="00FA7105">
        <w:rPr>
          <w:rFonts w:hAnsi="標楷體" w:hint="eastAsia"/>
          <w:sz w:val="26"/>
          <w:szCs w:val="26"/>
          <w:lang w:eastAsia="zh-TW"/>
        </w:rPr>
        <w:t>美元、內陸運費為</w:t>
      </w:r>
      <w:r w:rsidRPr="00FA7105">
        <w:rPr>
          <w:rFonts w:hAnsi="標楷體" w:cs="Times New Roman"/>
          <w:sz w:val="26"/>
          <w:szCs w:val="26"/>
          <w:lang w:eastAsia="zh-TW"/>
        </w:rPr>
        <w:t>500</w:t>
      </w:r>
      <w:r w:rsidRPr="00FA7105">
        <w:rPr>
          <w:rFonts w:hAnsi="標楷體" w:hint="eastAsia"/>
          <w:sz w:val="26"/>
          <w:szCs w:val="26"/>
          <w:lang w:eastAsia="zh-TW"/>
        </w:rPr>
        <w:t>元</w:t>
      </w:r>
      <w:r w:rsidRPr="00FA7105">
        <w:rPr>
          <w:rFonts w:hAnsi="標楷體" w:cs="Times New Roman"/>
          <w:sz w:val="26"/>
          <w:szCs w:val="26"/>
          <w:lang w:eastAsia="zh-TW"/>
        </w:rPr>
        <w:t>/</w:t>
      </w:r>
      <w:r w:rsidRPr="00FA7105">
        <w:rPr>
          <w:rFonts w:hAnsi="標楷體" w:hint="eastAsia"/>
          <w:sz w:val="26"/>
          <w:szCs w:val="26"/>
          <w:lang w:eastAsia="zh-TW"/>
        </w:rPr>
        <w:t>公噸，計算之「基期</w:t>
      </w:r>
      <w:proofErr w:type="gramStart"/>
      <w:r w:rsidRPr="00FA7105">
        <w:rPr>
          <w:rFonts w:hAnsi="標楷體" w:hint="eastAsia"/>
          <w:sz w:val="26"/>
          <w:szCs w:val="26"/>
          <w:lang w:eastAsia="zh-TW"/>
        </w:rPr>
        <w:t>燃料煤到廠</w:t>
      </w:r>
      <w:proofErr w:type="gramEnd"/>
      <w:r w:rsidRPr="00FA7105">
        <w:rPr>
          <w:rFonts w:hAnsi="標楷體" w:hint="eastAsia"/>
          <w:sz w:val="26"/>
          <w:szCs w:val="26"/>
          <w:lang w:eastAsia="zh-TW"/>
        </w:rPr>
        <w:t>成本」為</w:t>
      </w:r>
      <w:r w:rsidRPr="00FA7105">
        <w:rPr>
          <w:rFonts w:hAnsi="標楷體" w:cs="Times New Roman"/>
          <w:sz w:val="26"/>
          <w:szCs w:val="26"/>
          <w:lang w:eastAsia="zh-TW"/>
        </w:rPr>
        <w:t>5,708.2660</w:t>
      </w:r>
      <w:r w:rsidRPr="00FA7105">
        <w:rPr>
          <w:rFonts w:hAnsi="標楷體" w:hint="eastAsia"/>
          <w:sz w:val="26"/>
          <w:szCs w:val="26"/>
          <w:lang w:eastAsia="zh-TW"/>
        </w:rPr>
        <w:t>元</w:t>
      </w:r>
      <w:r w:rsidRPr="00FA7105">
        <w:rPr>
          <w:rFonts w:hAnsi="標楷體" w:cs="Times New Roman"/>
          <w:sz w:val="26"/>
          <w:szCs w:val="26"/>
          <w:lang w:eastAsia="zh-TW"/>
        </w:rPr>
        <w:t>/</w:t>
      </w:r>
      <w:r w:rsidRPr="00FA7105">
        <w:rPr>
          <w:rFonts w:hAnsi="標楷體" w:hint="eastAsia"/>
          <w:sz w:val="26"/>
          <w:szCs w:val="26"/>
          <w:lang w:eastAsia="zh-TW"/>
        </w:rPr>
        <w:t>公噸。</w:t>
      </w:r>
    </w:p>
    <w:p w:rsidR="00FA7105" w:rsidRPr="00FA7105" w:rsidRDefault="00FA7105" w:rsidP="00FA7105">
      <w:pPr>
        <w:pStyle w:val="Default"/>
        <w:ind w:leftChars="1" w:left="920" w:hangingChars="353" w:hanging="918"/>
        <w:rPr>
          <w:rFonts w:hAnsi="標楷體"/>
          <w:sz w:val="26"/>
          <w:szCs w:val="26"/>
          <w:lang w:eastAsia="zh-TW"/>
        </w:rPr>
      </w:pPr>
      <w:r w:rsidRPr="00FA7105">
        <w:rPr>
          <w:rFonts w:hAnsi="標楷體" w:cs="Times New Roman" w:hint="eastAsia"/>
          <w:sz w:val="26"/>
          <w:szCs w:val="26"/>
          <w:lang w:eastAsia="zh-TW"/>
        </w:rPr>
        <w:t xml:space="preserve">     </w:t>
      </w:r>
      <w:r w:rsidRPr="00FA7105">
        <w:rPr>
          <w:rFonts w:hAnsi="標楷體" w:cs="Times New Roman"/>
          <w:sz w:val="26"/>
          <w:szCs w:val="26"/>
          <w:lang w:eastAsia="zh-TW"/>
        </w:rPr>
        <w:t>3.</w:t>
      </w:r>
      <w:r w:rsidRPr="00FA7105">
        <w:rPr>
          <w:rFonts w:hAnsi="標楷體" w:hint="eastAsia"/>
          <w:sz w:val="26"/>
          <w:szCs w:val="26"/>
          <w:lang w:eastAsia="zh-TW"/>
        </w:rPr>
        <w:t>依據</w:t>
      </w:r>
      <w:r w:rsidRPr="00FA7105">
        <w:rPr>
          <w:rFonts w:hAnsi="標楷體" w:cs="Times New Roman"/>
          <w:sz w:val="26"/>
          <w:szCs w:val="26"/>
          <w:lang w:eastAsia="zh-TW"/>
        </w:rPr>
        <w:t>113</w:t>
      </w:r>
      <w:r w:rsidRPr="00FA7105">
        <w:rPr>
          <w:rFonts w:hAnsi="標楷體" w:hint="eastAsia"/>
          <w:sz w:val="26"/>
          <w:szCs w:val="26"/>
          <w:lang w:eastAsia="zh-TW"/>
        </w:rPr>
        <w:t>年</w:t>
      </w:r>
      <w:r w:rsidRPr="00FA7105">
        <w:rPr>
          <w:rFonts w:hAnsi="標楷體" w:cs="Times New Roman"/>
          <w:sz w:val="26"/>
          <w:szCs w:val="26"/>
          <w:lang w:eastAsia="zh-TW"/>
        </w:rPr>
        <w:t>7</w:t>
      </w:r>
      <w:r w:rsidRPr="00FA7105">
        <w:rPr>
          <w:rFonts w:hAnsi="標楷體" w:hint="eastAsia"/>
          <w:sz w:val="26"/>
          <w:szCs w:val="26"/>
          <w:lang w:eastAsia="zh-TW"/>
        </w:rPr>
        <w:t>月台灣中油股份有限公司售予合格汽電共生用系統用戶</w:t>
      </w:r>
      <w:proofErr w:type="gramStart"/>
      <w:r w:rsidRPr="00FA7105">
        <w:rPr>
          <w:rFonts w:hAnsi="標楷體" w:hint="eastAsia"/>
          <w:sz w:val="26"/>
          <w:szCs w:val="26"/>
          <w:lang w:eastAsia="zh-TW"/>
        </w:rPr>
        <w:t>天然氣氣價</w:t>
      </w:r>
      <w:r w:rsidRPr="00FA7105">
        <w:rPr>
          <w:rFonts w:hAnsi="標楷體" w:cs="Times New Roman"/>
          <w:sz w:val="26"/>
          <w:szCs w:val="26"/>
          <w:lang w:eastAsia="zh-TW"/>
        </w:rPr>
        <w:t>11.9261</w:t>
      </w:r>
      <w:r w:rsidRPr="00FA7105">
        <w:rPr>
          <w:rFonts w:hAnsi="標楷體" w:hint="eastAsia"/>
          <w:sz w:val="26"/>
          <w:szCs w:val="26"/>
          <w:lang w:eastAsia="zh-TW"/>
        </w:rPr>
        <w:t>元</w:t>
      </w:r>
      <w:proofErr w:type="gramEnd"/>
      <w:r w:rsidRPr="00FA7105">
        <w:rPr>
          <w:rFonts w:hAnsi="標楷體" w:cs="Times New Roman"/>
          <w:sz w:val="26"/>
          <w:szCs w:val="26"/>
          <w:lang w:eastAsia="zh-TW"/>
        </w:rPr>
        <w:t>/</w:t>
      </w:r>
      <w:r w:rsidRPr="00FA7105">
        <w:rPr>
          <w:rFonts w:hAnsi="標楷體" w:hint="eastAsia"/>
          <w:sz w:val="26"/>
          <w:szCs w:val="26"/>
          <w:lang w:eastAsia="zh-TW"/>
        </w:rPr>
        <w:t>立方公尺（含稅），計算之「基期台灣中油公司售予合格系統天然氣牌價（未稅）」為</w:t>
      </w:r>
      <w:r w:rsidRPr="00FA7105">
        <w:rPr>
          <w:rFonts w:hAnsi="標楷體" w:cs="Times New Roman"/>
          <w:sz w:val="26"/>
          <w:szCs w:val="26"/>
          <w:lang w:eastAsia="zh-TW"/>
        </w:rPr>
        <w:t>11.3582</w:t>
      </w:r>
      <w:r w:rsidRPr="00FA7105">
        <w:rPr>
          <w:rFonts w:hAnsi="標楷體" w:hint="eastAsia"/>
          <w:sz w:val="26"/>
          <w:szCs w:val="26"/>
          <w:lang w:eastAsia="zh-TW"/>
        </w:rPr>
        <w:t>元</w:t>
      </w:r>
      <w:r w:rsidRPr="00FA7105">
        <w:rPr>
          <w:rFonts w:hAnsi="標楷體" w:cs="Times New Roman"/>
          <w:sz w:val="26"/>
          <w:szCs w:val="26"/>
          <w:lang w:eastAsia="zh-TW"/>
        </w:rPr>
        <w:t>/</w:t>
      </w:r>
      <w:r w:rsidRPr="00FA7105">
        <w:rPr>
          <w:rFonts w:hAnsi="標楷體" w:hint="eastAsia"/>
          <w:sz w:val="26"/>
          <w:szCs w:val="26"/>
          <w:lang w:eastAsia="zh-TW"/>
        </w:rPr>
        <w:t>立方公尺。</w:t>
      </w:r>
    </w:p>
    <w:p w:rsidR="00FC7E1A" w:rsidRPr="00FA7105" w:rsidRDefault="00FA7105" w:rsidP="00FA7105">
      <w:pPr>
        <w:pStyle w:val="Default"/>
        <w:ind w:leftChars="1" w:left="920" w:hangingChars="353" w:hanging="918"/>
        <w:rPr>
          <w:rFonts w:hAnsi="標楷體"/>
        </w:rPr>
      </w:pPr>
      <w:r w:rsidRPr="00FA7105">
        <w:rPr>
          <w:rFonts w:hAnsi="標楷體" w:cs="Times New Roman" w:hint="eastAsia"/>
          <w:sz w:val="26"/>
          <w:szCs w:val="26"/>
          <w:lang w:eastAsia="zh-TW"/>
        </w:rPr>
        <w:t xml:space="preserve">     </w:t>
      </w:r>
      <w:r w:rsidRPr="00FA7105">
        <w:rPr>
          <w:rFonts w:hAnsi="標楷體" w:cs="Times New Roman"/>
          <w:sz w:val="26"/>
          <w:szCs w:val="26"/>
        </w:rPr>
        <w:t>4.</w:t>
      </w:r>
      <w:r w:rsidRPr="00FA7105">
        <w:rPr>
          <w:rFonts w:hAnsi="標楷體" w:hint="eastAsia"/>
          <w:sz w:val="26"/>
          <w:szCs w:val="26"/>
        </w:rPr>
        <w:t>行政院主計總處公告之「</w:t>
      </w:r>
      <w:r w:rsidRPr="00FA7105">
        <w:rPr>
          <w:rFonts w:hAnsi="標楷體" w:cs="Times New Roman"/>
          <w:sz w:val="26"/>
          <w:szCs w:val="26"/>
        </w:rPr>
        <w:t>112</w:t>
      </w:r>
      <w:r w:rsidRPr="00FA7105">
        <w:rPr>
          <w:rFonts w:hAnsi="標楷體" w:hint="eastAsia"/>
          <w:sz w:val="26"/>
          <w:szCs w:val="26"/>
        </w:rPr>
        <w:t>年生產者物價指數」為</w:t>
      </w:r>
      <w:r w:rsidRPr="00FA7105">
        <w:rPr>
          <w:rFonts w:hAnsi="標楷體" w:cs="Times New Roman"/>
          <w:sz w:val="26"/>
          <w:szCs w:val="26"/>
        </w:rPr>
        <w:t>109.88</w:t>
      </w:r>
      <w:r w:rsidRPr="00FA7105">
        <w:rPr>
          <w:rFonts w:hAnsi="標楷體" w:hint="eastAsia"/>
          <w:sz w:val="26"/>
          <w:szCs w:val="26"/>
        </w:rPr>
        <w:t>。</w:t>
      </w:r>
      <w:bookmarkStart w:id="0" w:name="_GoBack"/>
      <w:bookmarkEnd w:id="0"/>
    </w:p>
    <w:sectPr w:rsidR="00FC7E1A" w:rsidRPr="00FA7105">
      <w:footerReference w:type="default" r:id="rId7"/>
      <w:type w:val="continuous"/>
      <w:pgSz w:w="11910" w:h="16840"/>
      <w:pgMar w:top="1200" w:right="992" w:bottom="640" w:left="992" w:header="0" w:footer="4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3D" w:rsidRDefault="00AD083D">
      <w:r>
        <w:separator/>
      </w:r>
    </w:p>
  </w:endnote>
  <w:endnote w:type="continuationSeparator" w:id="0">
    <w:p w:rsidR="00AD083D" w:rsidRDefault="00AD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E1A" w:rsidRDefault="00AD083D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3735451</wp:posOffset>
              </wp:positionH>
              <wp:positionV relativeFrom="page">
                <wp:posOffset>10261860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7E1A" w:rsidRDefault="00AD083D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15pt;margin-top:808pt;width:7pt;height:13.0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" filled="f" stroked="f">
              <v:textbox inset="0,0,0,0">
                <w:txbxContent>
                  <w:p w:rsidR="00FC7E1A" w:rsidRDefault="00AD083D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3D" w:rsidRDefault="00AD083D">
      <w:r>
        <w:separator/>
      </w:r>
    </w:p>
  </w:footnote>
  <w:footnote w:type="continuationSeparator" w:id="0">
    <w:p w:rsidR="00AD083D" w:rsidRDefault="00AD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5F72"/>
    <w:multiLevelType w:val="hybridMultilevel"/>
    <w:tmpl w:val="C47417C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C1E6A51"/>
    <w:multiLevelType w:val="hybridMultilevel"/>
    <w:tmpl w:val="07B4C51A"/>
    <w:lvl w:ilvl="0" w:tplc="0EE49D32">
      <w:start w:val="2"/>
      <w:numFmt w:val="decimal"/>
      <w:lvlText w:val="%1."/>
      <w:lvlJc w:val="left"/>
      <w:pPr>
        <w:ind w:left="8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3404EE58">
      <w:numFmt w:val="bullet"/>
      <w:lvlText w:val="•"/>
      <w:lvlJc w:val="left"/>
      <w:pPr>
        <w:ind w:left="1712" w:hanging="181"/>
      </w:pPr>
      <w:rPr>
        <w:rFonts w:hint="default"/>
        <w:lang w:val="en-US" w:eastAsia="zh-TW" w:bidi="ar-SA"/>
      </w:rPr>
    </w:lvl>
    <w:lvl w:ilvl="2" w:tplc="51F20198">
      <w:numFmt w:val="bullet"/>
      <w:lvlText w:val="•"/>
      <w:lvlJc w:val="left"/>
      <w:pPr>
        <w:ind w:left="2624" w:hanging="181"/>
      </w:pPr>
      <w:rPr>
        <w:rFonts w:hint="default"/>
        <w:lang w:val="en-US" w:eastAsia="zh-TW" w:bidi="ar-SA"/>
      </w:rPr>
    </w:lvl>
    <w:lvl w:ilvl="3" w:tplc="731C8CCC">
      <w:numFmt w:val="bullet"/>
      <w:lvlText w:val="•"/>
      <w:lvlJc w:val="left"/>
      <w:pPr>
        <w:ind w:left="3536" w:hanging="181"/>
      </w:pPr>
      <w:rPr>
        <w:rFonts w:hint="default"/>
        <w:lang w:val="en-US" w:eastAsia="zh-TW" w:bidi="ar-SA"/>
      </w:rPr>
    </w:lvl>
    <w:lvl w:ilvl="4" w:tplc="CE763332">
      <w:numFmt w:val="bullet"/>
      <w:lvlText w:val="•"/>
      <w:lvlJc w:val="left"/>
      <w:pPr>
        <w:ind w:left="4448" w:hanging="181"/>
      </w:pPr>
      <w:rPr>
        <w:rFonts w:hint="default"/>
        <w:lang w:val="en-US" w:eastAsia="zh-TW" w:bidi="ar-SA"/>
      </w:rPr>
    </w:lvl>
    <w:lvl w:ilvl="5" w:tplc="861A39BC">
      <w:numFmt w:val="bullet"/>
      <w:lvlText w:val="•"/>
      <w:lvlJc w:val="left"/>
      <w:pPr>
        <w:ind w:left="5361" w:hanging="181"/>
      </w:pPr>
      <w:rPr>
        <w:rFonts w:hint="default"/>
        <w:lang w:val="en-US" w:eastAsia="zh-TW" w:bidi="ar-SA"/>
      </w:rPr>
    </w:lvl>
    <w:lvl w:ilvl="6" w:tplc="533C88DA">
      <w:numFmt w:val="bullet"/>
      <w:lvlText w:val="•"/>
      <w:lvlJc w:val="left"/>
      <w:pPr>
        <w:ind w:left="6273" w:hanging="181"/>
      </w:pPr>
      <w:rPr>
        <w:rFonts w:hint="default"/>
        <w:lang w:val="en-US" w:eastAsia="zh-TW" w:bidi="ar-SA"/>
      </w:rPr>
    </w:lvl>
    <w:lvl w:ilvl="7" w:tplc="90B61ED4">
      <w:numFmt w:val="bullet"/>
      <w:lvlText w:val="•"/>
      <w:lvlJc w:val="left"/>
      <w:pPr>
        <w:ind w:left="7185" w:hanging="181"/>
      </w:pPr>
      <w:rPr>
        <w:rFonts w:hint="default"/>
        <w:lang w:val="en-US" w:eastAsia="zh-TW" w:bidi="ar-SA"/>
      </w:rPr>
    </w:lvl>
    <w:lvl w:ilvl="8" w:tplc="28907568">
      <w:numFmt w:val="bullet"/>
      <w:lvlText w:val="•"/>
      <w:lvlJc w:val="left"/>
      <w:pPr>
        <w:ind w:left="8097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E1A"/>
    <w:rsid w:val="00AD083D"/>
    <w:rsid w:val="00FA7105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E515"/>
  <w15:docId w15:val="{A489E5DF-AD21-444B-826D-AECDB8FF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477" w:lineRule="exact"/>
      <w:ind w:left="-1" w:right="1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6"/>
      <w:ind w:left="801" w:hanging="180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  <w:rPr>
      <w:rFonts w:ascii="微軟正黑體" w:eastAsia="微軟正黑體" w:hAnsi="微軟正黑體" w:cs="微軟正黑體"/>
    </w:rPr>
  </w:style>
  <w:style w:type="paragraph" w:customStyle="1" w:styleId="Default">
    <w:name w:val="Default"/>
    <w:rsid w:val="00FA7105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件</dc:title>
  <dc:creator>206755</dc:creator>
  <cp:lastModifiedBy>奕祥資訊</cp:lastModifiedBy>
  <cp:revision>2</cp:revision>
  <dcterms:created xsi:type="dcterms:W3CDTF">2025-02-06T02:02:00Z</dcterms:created>
  <dcterms:modified xsi:type="dcterms:W3CDTF">2025-02-06T02:08:00Z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2010</vt:lpwstr>
  </property>
</Properties>
</file>