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6908F" w14:textId="77777777" w:rsidR="008E1B1D" w:rsidRPr="001633D9" w:rsidRDefault="008E1B1D" w:rsidP="008E1B1D">
      <w:pPr>
        <w:spacing w:before="180" w:after="180" w:line="480" w:lineRule="exact"/>
        <w:jc w:val="center"/>
        <w:rPr>
          <w:rFonts w:ascii="Times New Roman" w:eastAsia="標楷體" w:hAnsi="Times New Roman" w:cs="Times New Roman"/>
          <w:b/>
          <w:sz w:val="36"/>
          <w:szCs w:val="28"/>
        </w:rPr>
      </w:pPr>
      <w:bookmarkStart w:id="0" w:name="OLE_LINK41"/>
      <w:r w:rsidRPr="001633D9">
        <w:rPr>
          <w:rFonts w:ascii="Times New Roman" w:eastAsia="標楷體" w:hAnsi="Times New Roman" w:cs="Times New Roman"/>
          <w:b/>
          <w:sz w:val="36"/>
          <w:szCs w:val="28"/>
        </w:rPr>
        <w:t xml:space="preserve">Policy suggestion delivered by conference on </w:t>
      </w:r>
      <w:r w:rsidRPr="001633D9">
        <w:rPr>
          <w:rFonts w:ascii="Times New Roman" w:eastAsia="標楷體" w:hAnsi="Times New Roman" w:cs="Times New Roman" w:hint="eastAsia"/>
          <w:b/>
          <w:sz w:val="36"/>
          <w:szCs w:val="28"/>
        </w:rPr>
        <w:t>APEC</w:t>
      </w:r>
      <w:r w:rsidRPr="001633D9">
        <w:rPr>
          <w:rFonts w:ascii="Times New Roman" w:eastAsia="標楷體" w:hAnsi="Times New Roman" w:cs="Times New Roman"/>
          <w:b/>
          <w:sz w:val="36"/>
          <w:szCs w:val="28"/>
        </w:rPr>
        <w:t xml:space="preserve"> green energy finance</w:t>
      </w:r>
    </w:p>
    <w:p w14:paraId="2C722322" w14:textId="77777777" w:rsidR="006B0565" w:rsidRPr="001633D9" w:rsidRDefault="006B0565" w:rsidP="006B0565">
      <w:pPr>
        <w:spacing w:before="180" w:after="180" w:line="480" w:lineRule="exact"/>
        <w:jc w:val="center"/>
        <w:rPr>
          <w:rFonts w:ascii="Times New Roman" w:eastAsia="標楷體" w:hAnsi="Times New Roman" w:cs="Times New Roman"/>
          <w:b/>
          <w:sz w:val="36"/>
          <w:szCs w:val="28"/>
        </w:rPr>
      </w:pPr>
    </w:p>
    <w:p w14:paraId="4D1BFA11" w14:textId="63019452" w:rsidR="006B0565" w:rsidRPr="001633D9" w:rsidRDefault="006B0565" w:rsidP="00232F46">
      <w:pPr>
        <w:adjustRightInd w:val="0"/>
        <w:snapToGrid w:val="0"/>
        <w:spacing w:beforeLines="50" w:before="180" w:afterLines="50" w:after="180" w:line="480" w:lineRule="exact"/>
        <w:ind w:firstLineChars="200" w:firstLine="560"/>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To cope with the dual challenges of climate change and energy security, green energy, especially renewable energy, has been experiencing dramatic growth in the last decade. Recent reports show that global investment in renewable energy increased fivefold during 2004 to 2010</w:t>
      </w:r>
      <w:r w:rsidR="008E1B1D" w:rsidRPr="001633D9">
        <w:rPr>
          <w:rFonts w:ascii="Times New Roman" w:eastAsia="標楷體" w:hAnsi="Times New Roman" w:cs="Times New Roman"/>
          <w:sz w:val="28"/>
          <w:szCs w:val="28"/>
        </w:rPr>
        <w:t>,</w:t>
      </w:r>
      <w:r w:rsidR="008E1B1D" w:rsidRPr="001633D9">
        <w:rPr>
          <w:rFonts w:ascii="Times New Roman" w:eastAsia="標楷體" w:hAnsi="Times New Roman" w:cs="Times New Roman" w:hint="eastAsia"/>
          <w:sz w:val="28"/>
          <w:szCs w:val="28"/>
        </w:rPr>
        <w:t xml:space="preserve"> </w:t>
      </w:r>
      <w:r w:rsidR="008E1B1D" w:rsidRPr="001633D9">
        <w:rPr>
          <w:rFonts w:ascii="Times New Roman" w:eastAsia="標楷體" w:hAnsi="Times New Roman" w:cs="Times New Roman"/>
          <w:sz w:val="28"/>
          <w:szCs w:val="28"/>
        </w:rPr>
        <w:t>and has remained robust since then. G</w:t>
      </w:r>
      <w:bookmarkStart w:id="1" w:name="_GoBack"/>
      <w:bookmarkEnd w:id="1"/>
      <w:r w:rsidR="008E1B1D" w:rsidRPr="001633D9">
        <w:rPr>
          <w:rFonts w:ascii="Times New Roman" w:eastAsia="標楷體" w:hAnsi="Times New Roman" w:cs="Times New Roman"/>
          <w:sz w:val="28"/>
          <w:szCs w:val="28"/>
        </w:rPr>
        <w:t>oing forward, investment in energy efficiency will become increasingly important. IEA projections have indicated that green finance for energy efficiency would need to be nearly three</w:t>
      </w:r>
      <w:r w:rsidR="008E1B1D" w:rsidRPr="001633D9">
        <w:rPr>
          <w:rFonts w:ascii="Times New Roman" w:eastAsia="標楷體" w:hAnsi="Times New Roman" w:cs="Times New Roman" w:hint="eastAsia"/>
          <w:sz w:val="28"/>
          <w:szCs w:val="28"/>
        </w:rPr>
        <w:t>-</w:t>
      </w:r>
      <w:r w:rsidR="008E1B1D" w:rsidRPr="001633D9">
        <w:rPr>
          <w:rFonts w:ascii="Times New Roman" w:eastAsia="標楷體" w:hAnsi="Times New Roman" w:cs="Times New Roman"/>
          <w:sz w:val="28"/>
          <w:szCs w:val="28"/>
        </w:rPr>
        <w:t>times higher than renewable energy by 2040 in order to meet climate change objectives consistent with a 2 degree scenario.</w:t>
      </w:r>
      <w:r w:rsidRPr="001633D9">
        <w:rPr>
          <w:rFonts w:ascii="Times New Roman" w:eastAsia="標楷體" w:hAnsi="Times New Roman" w:cs="Times New Roman"/>
          <w:sz w:val="28"/>
          <w:szCs w:val="28"/>
        </w:rPr>
        <w:t xml:space="preserve"> </w:t>
      </w:r>
    </w:p>
    <w:p w14:paraId="48436605" w14:textId="77B8556B" w:rsidR="00CC0D37" w:rsidRPr="001633D9" w:rsidRDefault="008E1B1D" w:rsidP="008E1B1D">
      <w:pPr>
        <w:adjustRightInd w:val="0"/>
        <w:snapToGrid w:val="0"/>
        <w:spacing w:beforeLines="50" w:before="180" w:afterLines="50" w:after="180" w:line="480" w:lineRule="exact"/>
        <w:ind w:firstLineChars="200" w:firstLine="560"/>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 xml:space="preserve">The 2016 investment in renewables and energy efficiency was steady at nearly USD 550 billion in 2016 compared with 2015, according to IEA </w:t>
      </w:r>
      <w:r w:rsidRPr="001633D9">
        <w:rPr>
          <w:rFonts w:ascii="Times New Roman" w:eastAsia="標楷體" w:hAnsi="Times New Roman" w:cs="Times New Roman"/>
          <w:i/>
          <w:sz w:val="28"/>
          <w:szCs w:val="28"/>
        </w:rPr>
        <w:t>World Energy Investment</w:t>
      </w:r>
      <w:r w:rsidRPr="001633D9">
        <w:rPr>
          <w:rFonts w:ascii="Times New Roman" w:eastAsia="標楷體" w:hAnsi="Times New Roman" w:cs="Times New Roman"/>
          <w:sz w:val="28"/>
          <w:szCs w:val="28"/>
        </w:rPr>
        <w:t xml:space="preserve">. Nevertheless, barriers of green energy finance remain in multiple aspects. </w:t>
      </w:r>
      <w:r w:rsidR="0070657F" w:rsidRPr="001633D9">
        <w:rPr>
          <w:rFonts w:ascii="Times New Roman" w:eastAsia="標楷體" w:hAnsi="Times New Roman" w:cs="Times New Roman"/>
          <w:sz w:val="28"/>
          <w:szCs w:val="28"/>
        </w:rPr>
        <w:t>Tracing</w:t>
      </w:r>
      <w:r w:rsidR="001916C8" w:rsidRPr="001633D9">
        <w:rPr>
          <w:rFonts w:ascii="Times New Roman" w:eastAsia="標楷體" w:hAnsi="Times New Roman" w:cs="Times New Roman"/>
          <w:sz w:val="28"/>
          <w:szCs w:val="28"/>
        </w:rPr>
        <w:t xml:space="preserve"> to the source, e</w:t>
      </w:r>
      <w:r w:rsidR="00974325" w:rsidRPr="001633D9">
        <w:rPr>
          <w:rFonts w:ascii="Times New Roman" w:eastAsia="標楷體" w:hAnsi="Times New Roman" w:cs="Times New Roman"/>
          <w:sz w:val="28"/>
          <w:szCs w:val="28"/>
        </w:rPr>
        <w:t xml:space="preserve">nergy efficiency has wide range of technology and measures which makes </w:t>
      </w:r>
      <w:r w:rsidR="00BA4168" w:rsidRPr="001633D9">
        <w:rPr>
          <w:rFonts w:ascii="Times New Roman" w:eastAsia="標楷體" w:hAnsi="Times New Roman" w:cs="Times New Roman"/>
          <w:sz w:val="28"/>
          <w:szCs w:val="28"/>
        </w:rPr>
        <w:t>it</w:t>
      </w:r>
      <w:r w:rsidR="00974325" w:rsidRPr="001633D9">
        <w:rPr>
          <w:rFonts w:ascii="Times New Roman" w:eastAsia="標楷體" w:hAnsi="Times New Roman" w:cs="Times New Roman"/>
          <w:sz w:val="28"/>
          <w:szCs w:val="28"/>
        </w:rPr>
        <w:t xml:space="preserve"> an extremely</w:t>
      </w:r>
      <w:bookmarkStart w:id="2" w:name="OLE_LINK8"/>
      <w:bookmarkStart w:id="3" w:name="OLE_LINK9"/>
      <w:r w:rsidR="00974325" w:rsidRPr="001633D9">
        <w:rPr>
          <w:rFonts w:ascii="Times New Roman" w:eastAsia="標楷體" w:hAnsi="Times New Roman" w:cs="Times New Roman"/>
          <w:sz w:val="28"/>
          <w:szCs w:val="28"/>
        </w:rPr>
        <w:t xml:space="preserve"> heterogeneous</w:t>
      </w:r>
      <w:bookmarkEnd w:id="2"/>
      <w:bookmarkEnd w:id="3"/>
      <w:r w:rsidR="00974325" w:rsidRPr="001633D9">
        <w:rPr>
          <w:rFonts w:ascii="Times New Roman" w:eastAsia="標楷體" w:hAnsi="Times New Roman" w:cs="Times New Roman"/>
          <w:sz w:val="28"/>
          <w:szCs w:val="28"/>
        </w:rPr>
        <w:t xml:space="preserve"> sector with varying particularities that affect</w:t>
      </w:r>
      <w:r w:rsidR="004368FA" w:rsidRPr="001633D9">
        <w:rPr>
          <w:rFonts w:ascii="Times New Roman" w:eastAsia="標楷體" w:hAnsi="Times New Roman" w:cs="Times New Roman"/>
          <w:sz w:val="28"/>
          <w:szCs w:val="28"/>
        </w:rPr>
        <w:t>s</w:t>
      </w:r>
      <w:r w:rsidR="00974325" w:rsidRPr="001633D9">
        <w:rPr>
          <w:rFonts w:ascii="Times New Roman" w:eastAsia="標楷體" w:hAnsi="Times New Roman" w:cs="Times New Roman"/>
          <w:sz w:val="28"/>
          <w:szCs w:val="28"/>
        </w:rPr>
        <w:t xml:space="preserve"> the </w:t>
      </w:r>
      <w:bookmarkStart w:id="4" w:name="OLE_LINK11"/>
      <w:r w:rsidR="00974325" w:rsidRPr="001633D9">
        <w:rPr>
          <w:rFonts w:ascii="Times New Roman" w:eastAsia="標楷體" w:hAnsi="Times New Roman" w:cs="Times New Roman"/>
          <w:sz w:val="28"/>
          <w:szCs w:val="28"/>
        </w:rPr>
        <w:t>investment cycle</w:t>
      </w:r>
      <w:bookmarkEnd w:id="4"/>
      <w:r w:rsidR="00433354" w:rsidRPr="001633D9">
        <w:rPr>
          <w:rFonts w:ascii="Times New Roman" w:eastAsia="標楷體" w:hAnsi="Times New Roman" w:cs="Times New Roman"/>
          <w:sz w:val="28"/>
          <w:szCs w:val="28"/>
        </w:rPr>
        <w:t xml:space="preserve"> from the assessment</w:t>
      </w:r>
      <w:r w:rsidR="00974325" w:rsidRPr="001633D9">
        <w:rPr>
          <w:rFonts w:ascii="Times New Roman" w:eastAsia="標楷體" w:hAnsi="Times New Roman" w:cs="Times New Roman"/>
          <w:sz w:val="28"/>
          <w:szCs w:val="28"/>
        </w:rPr>
        <w:t xml:space="preserve"> to financing and monitoring of the projects.</w:t>
      </w:r>
      <w:r w:rsidR="00974325" w:rsidRPr="001633D9">
        <w:rPr>
          <w:rFonts w:ascii="Times New Roman" w:eastAsia="標楷體" w:hAnsi="Times New Roman" w:cs="Times New Roman" w:hint="eastAsia"/>
          <w:sz w:val="28"/>
          <w:szCs w:val="28"/>
        </w:rPr>
        <w:t xml:space="preserve"> M</w:t>
      </w:r>
      <w:r w:rsidR="00974325" w:rsidRPr="001633D9">
        <w:rPr>
          <w:rFonts w:ascii="Times New Roman" w:eastAsia="標楷體" w:hAnsi="Times New Roman" w:cs="Times New Roman"/>
          <w:sz w:val="28"/>
          <w:szCs w:val="28"/>
        </w:rPr>
        <w:t>oreover, energy efficiency projects are typically small-scale in nature, and are not the typical investment size required by the capital market.</w:t>
      </w:r>
      <w:r w:rsidR="00816B95" w:rsidRPr="001633D9">
        <w:rPr>
          <w:rFonts w:ascii="Times New Roman" w:eastAsia="標楷體" w:hAnsi="Times New Roman" w:cs="Times New Roman" w:hint="eastAsia"/>
          <w:sz w:val="28"/>
          <w:szCs w:val="28"/>
        </w:rPr>
        <w:t xml:space="preserve"> U</w:t>
      </w:r>
      <w:r w:rsidR="00816B95" w:rsidRPr="001633D9">
        <w:rPr>
          <w:rFonts w:ascii="Times New Roman" w:eastAsia="標楷體" w:hAnsi="Times New Roman" w:cs="Times New Roman"/>
          <w:sz w:val="28"/>
          <w:szCs w:val="28"/>
        </w:rPr>
        <w:t>ncertain policy and lack of suitable financial vehicle a</w:t>
      </w:r>
      <w:r w:rsidR="00C95469" w:rsidRPr="001633D9">
        <w:rPr>
          <w:rFonts w:ascii="Times New Roman" w:eastAsia="標楷體" w:hAnsi="Times New Roman" w:cs="Times New Roman"/>
          <w:sz w:val="28"/>
          <w:szCs w:val="28"/>
        </w:rPr>
        <w:t>lso raise the barrier to financing</w:t>
      </w:r>
      <w:r w:rsidR="00816B95" w:rsidRPr="001633D9">
        <w:rPr>
          <w:rFonts w:ascii="Times New Roman" w:eastAsia="標楷體" w:hAnsi="Times New Roman" w:cs="Times New Roman"/>
          <w:sz w:val="28"/>
          <w:szCs w:val="28"/>
        </w:rPr>
        <w:t xml:space="preserve"> renewable energy.</w:t>
      </w:r>
      <w:r w:rsidRPr="001633D9">
        <w:rPr>
          <w:rFonts w:ascii="Times New Roman" w:eastAsia="標楷體" w:hAnsi="Times New Roman" w:cs="Times New Roman" w:hint="eastAsia"/>
          <w:sz w:val="28"/>
          <w:szCs w:val="28"/>
        </w:rPr>
        <w:t xml:space="preserve"> </w:t>
      </w:r>
      <w:bookmarkStart w:id="5" w:name="OLE_LINK21"/>
      <w:bookmarkStart w:id="6" w:name="OLE_LINK22"/>
      <w:r w:rsidRPr="001633D9">
        <w:rPr>
          <w:rFonts w:ascii="Times New Roman" w:eastAsia="標楷體" w:hAnsi="Times New Roman" w:cs="Times New Roman" w:hint="eastAsia"/>
          <w:sz w:val="28"/>
          <w:szCs w:val="28"/>
        </w:rPr>
        <w:t>U</w:t>
      </w:r>
      <w:r w:rsidRPr="001633D9">
        <w:rPr>
          <w:rFonts w:ascii="Times New Roman" w:eastAsia="標楷體" w:hAnsi="Times New Roman" w:cs="Times New Roman"/>
          <w:sz w:val="28"/>
          <w:szCs w:val="28"/>
        </w:rPr>
        <w:t>ncertain policy and lack of attractively priced long-te</w:t>
      </w:r>
      <w:r w:rsidR="00F05167" w:rsidRPr="001633D9">
        <w:rPr>
          <w:rFonts w:ascii="Times New Roman" w:eastAsia="標楷體" w:hAnsi="Times New Roman" w:cs="Times New Roman"/>
          <w:sz w:val="28"/>
          <w:szCs w:val="28"/>
        </w:rPr>
        <w:t>rm</w:t>
      </w:r>
      <w:r w:rsidRPr="001633D9">
        <w:rPr>
          <w:rFonts w:ascii="Times New Roman" w:eastAsia="標楷體" w:hAnsi="Times New Roman" w:cs="Times New Roman"/>
          <w:sz w:val="28"/>
          <w:szCs w:val="28"/>
        </w:rPr>
        <w:t xml:space="preserve"> debt also remain barriers to financing renewable energy, particularly in emerging market economies.</w:t>
      </w:r>
      <w:bookmarkEnd w:id="5"/>
      <w:bookmarkEnd w:id="6"/>
    </w:p>
    <w:p w14:paraId="28FD1AE1" w14:textId="77777777" w:rsidR="008E1B1D" w:rsidRPr="001633D9" w:rsidRDefault="008E1B1D" w:rsidP="008E1B1D">
      <w:pPr>
        <w:adjustRightInd w:val="0"/>
        <w:snapToGrid w:val="0"/>
        <w:spacing w:beforeLines="50" w:before="180" w:afterLines="50" w:after="180" w:line="480" w:lineRule="exact"/>
        <w:ind w:firstLineChars="200" w:firstLine="560"/>
        <w:jc w:val="both"/>
        <w:rPr>
          <w:rFonts w:ascii="Times New Roman" w:eastAsia="標楷體" w:hAnsi="Times New Roman" w:cs="Times New Roman"/>
          <w:sz w:val="28"/>
          <w:szCs w:val="28"/>
        </w:rPr>
      </w:pPr>
    </w:p>
    <w:p w14:paraId="714463C5" w14:textId="6D7DC757" w:rsidR="006B0565" w:rsidRPr="001633D9" w:rsidRDefault="006B0565" w:rsidP="006B0565">
      <w:pPr>
        <w:adjustRightInd w:val="0"/>
        <w:snapToGrid w:val="0"/>
        <w:spacing w:beforeLines="50" w:before="180" w:afterLines="50" w:after="180" w:line="480" w:lineRule="exact"/>
        <w:ind w:firstLineChars="200" w:firstLine="560"/>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lastRenderedPageBreak/>
        <w:t>Under APEC Green Energy Finance Initiative, this conference, convening stakeholders from energy and finance fields in the APEC region, has the consensus to facilitate green energy finance and to accelerate capital flows in renewable energy and energy efficiency projects in the future. Various recommendations have been proposed and summarized in four key aspects: 1. Institutionalized reform, 2. System improvement, 3.</w:t>
      </w:r>
      <w:r w:rsidRPr="001633D9">
        <w:rPr>
          <w:rFonts w:ascii="Times New Roman" w:eastAsia="標楷體" w:hAnsi="Times New Roman" w:cs="Times New Roman" w:hint="eastAsia"/>
          <w:sz w:val="28"/>
          <w:szCs w:val="28"/>
        </w:rPr>
        <w:t xml:space="preserve"> </w:t>
      </w:r>
      <w:r w:rsidR="00BE0020">
        <w:rPr>
          <w:rFonts w:ascii="Times New Roman" w:eastAsia="標楷體" w:hAnsi="Times New Roman" w:cs="Times New Roman"/>
          <w:sz w:val="28"/>
          <w:szCs w:val="28"/>
        </w:rPr>
        <w:t>Human resource</w:t>
      </w:r>
      <w:r w:rsidRPr="001633D9">
        <w:rPr>
          <w:rFonts w:ascii="Times New Roman" w:eastAsia="標楷體" w:hAnsi="Times New Roman" w:cs="Times New Roman"/>
          <w:sz w:val="28"/>
          <w:szCs w:val="28"/>
        </w:rPr>
        <w:t xml:space="preserve"> development, 4. International cooperation.</w:t>
      </w:r>
    </w:p>
    <w:p w14:paraId="6784A89E" w14:textId="77777777" w:rsidR="00F214FF" w:rsidRDefault="00F214FF" w:rsidP="006B0565">
      <w:pPr>
        <w:adjustRightInd w:val="0"/>
        <w:snapToGrid w:val="0"/>
        <w:spacing w:line="360" w:lineRule="auto"/>
        <w:jc w:val="both"/>
        <w:rPr>
          <w:rFonts w:ascii="Times New Roman" w:eastAsia="標楷體" w:hAnsi="Times New Roman" w:cs="Times New Roman"/>
          <w:sz w:val="28"/>
          <w:szCs w:val="28"/>
        </w:rPr>
      </w:pPr>
      <w:bookmarkStart w:id="7" w:name="OLE_LINK10"/>
      <w:bookmarkStart w:id="8" w:name="OLE_LINK1"/>
    </w:p>
    <w:p w14:paraId="6B79E1F3" w14:textId="3D405188" w:rsidR="006B0565" w:rsidRPr="00716D1E" w:rsidRDefault="006B0565" w:rsidP="006B0565">
      <w:pPr>
        <w:adjustRightInd w:val="0"/>
        <w:snapToGrid w:val="0"/>
        <w:spacing w:line="360" w:lineRule="auto"/>
        <w:jc w:val="both"/>
        <w:rPr>
          <w:rFonts w:ascii="Times New Roman" w:eastAsia="標楷體" w:hAnsi="Times New Roman" w:cs="Times New Roman"/>
          <w:sz w:val="28"/>
          <w:szCs w:val="28"/>
        </w:rPr>
      </w:pPr>
      <w:r w:rsidRPr="00716D1E">
        <w:rPr>
          <w:rFonts w:ascii="Times New Roman" w:eastAsia="標楷體" w:hAnsi="Times New Roman" w:cs="Times New Roman"/>
          <w:sz w:val="28"/>
          <w:szCs w:val="28"/>
        </w:rPr>
        <w:t>1.Institutionalized Reform</w:t>
      </w:r>
    </w:p>
    <w:p w14:paraId="2259435B" w14:textId="507B5F07" w:rsidR="00BE5F9E" w:rsidRPr="00716D1E" w:rsidRDefault="006B0565" w:rsidP="006B0565">
      <w:pPr>
        <w:adjustRightInd w:val="0"/>
        <w:snapToGrid w:val="0"/>
        <w:spacing w:line="360" w:lineRule="auto"/>
        <w:jc w:val="both"/>
        <w:rPr>
          <w:rFonts w:ascii="Times New Roman" w:eastAsia="標楷體" w:hAnsi="Times New Roman" w:cs="Times New Roman"/>
          <w:sz w:val="28"/>
          <w:szCs w:val="28"/>
        </w:rPr>
      </w:pPr>
      <w:r w:rsidRPr="00716D1E">
        <w:rPr>
          <w:rFonts w:ascii="Times New Roman" w:eastAsia="標楷體" w:hAnsi="Times New Roman" w:cs="Times New Roman"/>
          <w:sz w:val="28"/>
          <w:szCs w:val="28"/>
        </w:rPr>
        <w:t xml:space="preserve">(1) For purpose of facilitating operational efficiency, promoting green energy policy integration, and decreasing the financial cost and risk from policy uncertainty, </w:t>
      </w:r>
      <w:r w:rsidR="00BE5F9E" w:rsidRPr="00716D1E">
        <w:rPr>
          <w:rFonts w:ascii="Times New Roman" w:eastAsia="標楷體" w:hAnsi="Times New Roman" w:cs="Times New Roman"/>
          <w:sz w:val="28"/>
          <w:szCs w:val="28"/>
        </w:rPr>
        <w:t xml:space="preserve">policy makers </w:t>
      </w:r>
      <w:bookmarkStart w:id="9" w:name="OLE_LINK31"/>
      <w:r w:rsidR="00BE5F9E" w:rsidRPr="00716D1E">
        <w:rPr>
          <w:rFonts w:ascii="Times New Roman" w:eastAsia="標楷體" w:hAnsi="Times New Roman" w:cs="Times New Roman"/>
          <w:sz w:val="28"/>
          <w:szCs w:val="28"/>
        </w:rPr>
        <w:t>are first</w:t>
      </w:r>
      <w:r w:rsidR="00BE5F9E" w:rsidRPr="00716D1E">
        <w:rPr>
          <w:rFonts w:ascii="Times New Roman" w:eastAsia="標楷體" w:hAnsi="Times New Roman" w:cs="Times New Roman" w:hint="eastAsia"/>
          <w:sz w:val="28"/>
          <w:szCs w:val="28"/>
        </w:rPr>
        <w:t xml:space="preserve"> </w:t>
      </w:r>
      <w:r w:rsidR="00BE5F9E" w:rsidRPr="00716D1E">
        <w:rPr>
          <w:rFonts w:ascii="Times New Roman" w:eastAsia="標楷體" w:hAnsi="Times New Roman" w:cs="Times New Roman"/>
          <w:sz w:val="28"/>
          <w:szCs w:val="28"/>
        </w:rPr>
        <w:t>encouraged</w:t>
      </w:r>
      <w:bookmarkEnd w:id="9"/>
      <w:r w:rsidRPr="00716D1E">
        <w:rPr>
          <w:rFonts w:ascii="Times New Roman" w:eastAsia="標楷體" w:hAnsi="Times New Roman" w:cs="Times New Roman"/>
          <w:sz w:val="28"/>
          <w:szCs w:val="28"/>
        </w:rPr>
        <w:t xml:space="preserve"> </w:t>
      </w:r>
      <w:r w:rsidRPr="00716D1E">
        <w:rPr>
          <w:rFonts w:ascii="Times New Roman" w:eastAsia="標楷體" w:hAnsi="Times New Roman" w:cs="Times New Roman" w:hint="eastAsia"/>
          <w:sz w:val="28"/>
          <w:szCs w:val="28"/>
        </w:rPr>
        <w:t>t</w:t>
      </w:r>
      <w:r w:rsidRPr="00716D1E">
        <w:rPr>
          <w:rFonts w:ascii="Times New Roman" w:eastAsia="標楷體" w:hAnsi="Times New Roman" w:cs="Times New Roman"/>
          <w:sz w:val="28"/>
          <w:szCs w:val="28"/>
        </w:rPr>
        <w:t xml:space="preserve">o form sound, transparent and flexible </w:t>
      </w:r>
      <w:r w:rsidR="00BE5F9E" w:rsidRPr="00716D1E">
        <w:rPr>
          <w:rFonts w:ascii="Times New Roman" w:eastAsia="標楷體" w:hAnsi="Times New Roman" w:cs="Times New Roman"/>
          <w:sz w:val="28"/>
          <w:szCs w:val="28"/>
        </w:rPr>
        <w:t>investment-grade policy framework that includes longer-term energy policy roadmap, regulatory framework and implementation measures.</w:t>
      </w:r>
    </w:p>
    <w:p w14:paraId="0B225386" w14:textId="42899DC2" w:rsidR="006B0565" w:rsidRPr="00716D1E" w:rsidRDefault="006B0565" w:rsidP="006B0565">
      <w:pPr>
        <w:adjustRightInd w:val="0"/>
        <w:snapToGrid w:val="0"/>
        <w:spacing w:line="360" w:lineRule="auto"/>
        <w:jc w:val="both"/>
        <w:rPr>
          <w:rFonts w:ascii="Times New Roman" w:eastAsia="標楷體" w:hAnsi="Times New Roman" w:cs="Times New Roman"/>
          <w:sz w:val="28"/>
          <w:szCs w:val="28"/>
        </w:rPr>
      </w:pPr>
      <w:r w:rsidRPr="00716D1E">
        <w:rPr>
          <w:rFonts w:ascii="Times New Roman" w:eastAsia="標楷體" w:hAnsi="Times New Roman" w:cs="Times New Roman"/>
          <w:sz w:val="28"/>
          <w:szCs w:val="28"/>
        </w:rPr>
        <w:t xml:space="preserve">(2) </w:t>
      </w:r>
      <w:bookmarkStart w:id="10" w:name="OLE_LINK33"/>
      <w:r w:rsidR="00D26B13" w:rsidRPr="00716D1E">
        <w:rPr>
          <w:rFonts w:ascii="Times New Roman" w:eastAsia="標楷體" w:hAnsi="Times New Roman" w:cs="Times New Roman"/>
          <w:sz w:val="28"/>
          <w:szCs w:val="28"/>
        </w:rPr>
        <w:t>In markets where risks</w:t>
      </w:r>
      <w:bookmarkEnd w:id="10"/>
      <w:r w:rsidR="00D26B13" w:rsidRPr="00716D1E">
        <w:rPr>
          <w:rFonts w:ascii="Times New Roman" w:eastAsia="標楷體" w:hAnsi="Times New Roman" w:cs="Times New Roman"/>
          <w:sz w:val="28"/>
          <w:szCs w:val="28"/>
        </w:rPr>
        <w:t xml:space="preserve"> to private sector development and the cost of capital remain elevated,</w:t>
      </w:r>
      <w:r w:rsidRPr="00716D1E">
        <w:rPr>
          <w:rFonts w:ascii="Times New Roman" w:eastAsia="標楷體" w:hAnsi="Times New Roman" w:cs="Times New Roman"/>
          <w:sz w:val="28"/>
          <w:szCs w:val="28"/>
        </w:rPr>
        <w:t xml:space="preserve"> </w:t>
      </w:r>
      <w:bookmarkStart w:id="11" w:name="OLE_LINK2"/>
      <w:r w:rsidRPr="00716D1E">
        <w:rPr>
          <w:rFonts w:ascii="Times New Roman" w:eastAsia="標楷體" w:hAnsi="Times New Roman" w:cs="Times New Roman"/>
          <w:sz w:val="28"/>
          <w:szCs w:val="28"/>
        </w:rPr>
        <w:fldChar w:fldCharType="begin"/>
      </w:r>
      <w:r w:rsidRPr="00716D1E">
        <w:rPr>
          <w:rFonts w:ascii="Times New Roman" w:eastAsia="標楷體" w:hAnsi="Times New Roman" w:cs="Times New Roman"/>
          <w:sz w:val="28"/>
          <w:szCs w:val="28"/>
        </w:rPr>
        <w:instrText xml:space="preserve"> eq \o\ac(</w:instrText>
      </w:r>
      <w:r w:rsidRPr="00716D1E">
        <w:rPr>
          <w:rFonts w:ascii="Times New Roman" w:eastAsia="標楷體" w:hAnsi="Times New Roman" w:cs="Times New Roman" w:hint="eastAsia"/>
          <w:sz w:val="28"/>
          <w:szCs w:val="28"/>
        </w:rPr>
        <w:instrText>○</w:instrText>
      </w:r>
      <w:r w:rsidRPr="00716D1E">
        <w:rPr>
          <w:rFonts w:ascii="Times New Roman" w:eastAsia="標楷體" w:hAnsi="Times New Roman" w:cs="Times New Roman"/>
          <w:sz w:val="28"/>
          <w:szCs w:val="28"/>
        </w:rPr>
        <w:instrText>,</w:instrText>
      </w:r>
      <w:r w:rsidRPr="00716D1E">
        <w:rPr>
          <w:rFonts w:ascii="Times New Roman" w:eastAsia="標楷體" w:hAnsi="Times New Roman" w:cs="Times New Roman"/>
          <w:position w:val="3"/>
          <w:sz w:val="19"/>
          <w:szCs w:val="28"/>
        </w:rPr>
        <w:instrText>1</w:instrText>
      </w:r>
      <w:r w:rsidRPr="00716D1E">
        <w:rPr>
          <w:rFonts w:ascii="Times New Roman" w:eastAsia="標楷體" w:hAnsi="Times New Roman" w:cs="Times New Roman"/>
          <w:sz w:val="28"/>
          <w:szCs w:val="28"/>
        </w:rPr>
        <w:instrText>)</w:instrText>
      </w:r>
      <w:r w:rsidRPr="00716D1E">
        <w:rPr>
          <w:rFonts w:ascii="Times New Roman" w:eastAsia="標楷體" w:hAnsi="Times New Roman" w:cs="Times New Roman"/>
          <w:sz w:val="28"/>
          <w:szCs w:val="28"/>
        </w:rPr>
        <w:fldChar w:fldCharType="end"/>
      </w:r>
      <w:bookmarkEnd w:id="11"/>
      <w:r w:rsidR="00D26B13" w:rsidRPr="00716D1E">
        <w:rPr>
          <w:rFonts w:ascii="Times New Roman" w:eastAsia="標楷體" w:hAnsi="Times New Roman" w:cs="Times New Roman"/>
          <w:sz w:val="28"/>
          <w:szCs w:val="28"/>
        </w:rPr>
        <w:t>mobilize</w:t>
      </w:r>
      <w:r w:rsidRPr="00716D1E">
        <w:rPr>
          <w:rFonts w:ascii="Times New Roman" w:eastAsia="標楷體" w:hAnsi="Times New Roman" w:cs="Times New Roman"/>
          <w:sz w:val="28"/>
          <w:szCs w:val="28"/>
        </w:rPr>
        <w:t xml:space="preserve"> private capital by providing diverse financial tools such as guarantee, bond or co-financing/investing to share the risks</w:t>
      </w:r>
      <w:r w:rsidR="00D26B13" w:rsidRPr="00716D1E">
        <w:rPr>
          <w:rFonts w:ascii="Times New Roman" w:eastAsia="標楷體" w:hAnsi="Times New Roman" w:cs="Times New Roman" w:hint="eastAsia"/>
          <w:sz w:val="28"/>
          <w:szCs w:val="28"/>
        </w:rPr>
        <w:t xml:space="preserve"> </w:t>
      </w:r>
      <w:bookmarkStart w:id="12" w:name="OLE_LINK23"/>
      <w:r w:rsidR="00D26B13" w:rsidRPr="00716D1E">
        <w:rPr>
          <w:rFonts w:ascii="Times New Roman" w:eastAsia="標楷體" w:hAnsi="Times New Roman" w:cs="Times New Roman"/>
          <w:sz w:val="28"/>
          <w:szCs w:val="28"/>
        </w:rPr>
        <w:t>and lower the cost of capital</w:t>
      </w:r>
      <w:bookmarkEnd w:id="12"/>
      <w:r w:rsidRPr="00716D1E">
        <w:rPr>
          <w:rFonts w:ascii="Times New Roman" w:eastAsia="標楷體" w:hAnsi="Times New Roman" w:cs="Times New Roman"/>
          <w:sz w:val="28"/>
          <w:szCs w:val="28"/>
        </w:rPr>
        <w:t xml:space="preserve">; </w:t>
      </w:r>
      <w:r w:rsidRPr="00716D1E">
        <w:rPr>
          <w:rFonts w:ascii="Times New Roman" w:eastAsia="標楷體" w:hAnsi="Times New Roman" w:cs="Times New Roman"/>
          <w:sz w:val="28"/>
          <w:szCs w:val="28"/>
        </w:rPr>
        <w:fldChar w:fldCharType="begin"/>
      </w:r>
      <w:r w:rsidRPr="00716D1E">
        <w:rPr>
          <w:rFonts w:ascii="Times New Roman" w:eastAsia="標楷體" w:hAnsi="Times New Roman" w:cs="Times New Roman"/>
          <w:sz w:val="28"/>
          <w:szCs w:val="28"/>
        </w:rPr>
        <w:instrText xml:space="preserve"> eq \o\ac(</w:instrText>
      </w:r>
      <w:r w:rsidRPr="00716D1E">
        <w:rPr>
          <w:rFonts w:ascii="Times New Roman" w:eastAsia="標楷體" w:hAnsi="Times New Roman" w:cs="Times New Roman" w:hint="eastAsia"/>
          <w:sz w:val="28"/>
          <w:szCs w:val="28"/>
        </w:rPr>
        <w:instrText>○</w:instrText>
      </w:r>
      <w:r w:rsidRPr="00716D1E">
        <w:rPr>
          <w:rFonts w:ascii="Times New Roman" w:eastAsia="標楷體" w:hAnsi="Times New Roman" w:cs="Times New Roman"/>
          <w:sz w:val="28"/>
          <w:szCs w:val="28"/>
        </w:rPr>
        <w:instrText>,</w:instrText>
      </w:r>
      <w:r w:rsidRPr="00716D1E">
        <w:rPr>
          <w:rFonts w:ascii="Times New Roman" w:eastAsia="標楷體" w:hAnsi="Times New Roman" w:cs="Times New Roman"/>
          <w:position w:val="3"/>
          <w:sz w:val="19"/>
          <w:szCs w:val="28"/>
        </w:rPr>
        <w:instrText>2</w:instrText>
      </w:r>
      <w:r w:rsidRPr="00716D1E">
        <w:rPr>
          <w:rFonts w:ascii="Times New Roman" w:eastAsia="標楷體" w:hAnsi="Times New Roman" w:cs="Times New Roman"/>
          <w:sz w:val="28"/>
          <w:szCs w:val="28"/>
        </w:rPr>
        <w:instrText>)</w:instrText>
      </w:r>
      <w:r w:rsidRPr="00716D1E">
        <w:rPr>
          <w:rFonts w:ascii="Times New Roman" w:eastAsia="標楷體" w:hAnsi="Times New Roman" w:cs="Times New Roman"/>
          <w:sz w:val="28"/>
          <w:szCs w:val="28"/>
        </w:rPr>
        <w:fldChar w:fldCharType="end"/>
      </w:r>
      <w:r w:rsidRPr="00716D1E">
        <w:rPr>
          <w:rFonts w:ascii="Times New Roman" w:eastAsia="標楷體" w:hAnsi="Times New Roman" w:cs="Times New Roman"/>
          <w:sz w:val="28"/>
          <w:szCs w:val="28"/>
        </w:rPr>
        <w:t xml:space="preserve">support green energy finance industry by streamlining </w:t>
      </w:r>
      <w:r w:rsidRPr="00716D1E">
        <w:rPr>
          <w:rFonts w:ascii="Times New Roman" w:hAnsi="Times New Roman" w:cs="Times New Roman"/>
          <w:sz w:val="28"/>
          <w:szCs w:val="28"/>
        </w:rPr>
        <w:t xml:space="preserve">technical and financial services. </w:t>
      </w:r>
    </w:p>
    <w:p w14:paraId="3EEB0137" w14:textId="77777777" w:rsidR="006B0565" w:rsidRPr="00716D1E" w:rsidRDefault="006B0565" w:rsidP="006B0565">
      <w:pPr>
        <w:adjustRightInd w:val="0"/>
        <w:snapToGrid w:val="0"/>
        <w:spacing w:line="360" w:lineRule="auto"/>
        <w:jc w:val="both"/>
        <w:rPr>
          <w:rFonts w:ascii="Times New Roman" w:eastAsia="標楷體" w:hAnsi="Times New Roman" w:cs="Times New Roman"/>
          <w:sz w:val="28"/>
          <w:szCs w:val="28"/>
        </w:rPr>
      </w:pPr>
      <w:r w:rsidRPr="00716D1E">
        <w:rPr>
          <w:rFonts w:ascii="Times New Roman" w:eastAsia="標楷體" w:hAnsi="Times New Roman" w:cs="Times New Roman"/>
          <w:sz w:val="28"/>
          <w:szCs w:val="28"/>
        </w:rPr>
        <w:t>(3) I</w:t>
      </w:r>
      <w:r w:rsidRPr="00716D1E">
        <w:rPr>
          <w:rFonts w:ascii="Times New Roman" w:eastAsia="標楷體" w:hAnsi="Times New Roman" w:cs="Times New Roman" w:hint="eastAsia"/>
          <w:sz w:val="28"/>
          <w:szCs w:val="28"/>
        </w:rPr>
        <w:t xml:space="preserve">t is </w:t>
      </w:r>
      <w:r w:rsidRPr="00716D1E">
        <w:rPr>
          <w:rFonts w:ascii="Times New Roman" w:eastAsia="標楷體" w:hAnsi="Times New Roman" w:cs="Times New Roman"/>
          <w:sz w:val="28"/>
          <w:szCs w:val="28"/>
        </w:rPr>
        <w:t xml:space="preserve">encouraged to accelerate the deployment of green energy in infrastructure, especially in transportation, buildings, smart grids </w:t>
      </w:r>
      <w:bookmarkStart w:id="13" w:name="OLE_LINK29"/>
      <w:bookmarkStart w:id="14" w:name="OLE_LINK30"/>
      <w:r w:rsidRPr="00716D1E">
        <w:rPr>
          <w:rFonts w:ascii="Times New Roman" w:eastAsia="標楷體" w:hAnsi="Times New Roman" w:cs="Times New Roman"/>
          <w:sz w:val="28"/>
          <w:szCs w:val="28"/>
        </w:rPr>
        <w:t xml:space="preserve">and </w:t>
      </w:r>
      <w:proofErr w:type="spellStart"/>
      <w:r w:rsidRPr="00716D1E">
        <w:rPr>
          <w:rFonts w:ascii="Times New Roman" w:eastAsia="標楷體" w:hAnsi="Times New Roman" w:cs="Times New Roman"/>
          <w:sz w:val="28"/>
          <w:szCs w:val="28"/>
        </w:rPr>
        <w:t>etc</w:t>
      </w:r>
      <w:proofErr w:type="spellEnd"/>
      <w:r w:rsidRPr="00716D1E">
        <w:rPr>
          <w:rFonts w:ascii="Times New Roman" w:eastAsia="標楷體" w:hAnsi="Times New Roman" w:cs="Times New Roman"/>
          <w:sz w:val="28"/>
          <w:szCs w:val="28"/>
        </w:rPr>
        <w:t>,</w:t>
      </w:r>
      <w:bookmarkEnd w:id="13"/>
      <w:bookmarkEnd w:id="14"/>
      <w:r w:rsidRPr="00716D1E">
        <w:rPr>
          <w:rFonts w:ascii="Times New Roman" w:eastAsia="標楷體" w:hAnsi="Times New Roman" w:cs="Times New Roman"/>
          <w:sz w:val="28"/>
          <w:szCs w:val="28"/>
        </w:rPr>
        <w:t xml:space="preserve"> and to value the importance of holistic and integrated planning for low carbon development at communities and municipal levels. </w:t>
      </w:r>
    </w:p>
    <w:p w14:paraId="589A6409" w14:textId="647886BE" w:rsidR="006B0565" w:rsidRPr="00716D1E" w:rsidRDefault="006B0565" w:rsidP="006B0565">
      <w:pPr>
        <w:adjustRightInd w:val="0"/>
        <w:snapToGrid w:val="0"/>
        <w:spacing w:line="360" w:lineRule="auto"/>
        <w:jc w:val="both"/>
        <w:rPr>
          <w:rFonts w:ascii="Times New Roman" w:eastAsia="標楷體" w:hAnsi="Times New Roman" w:cs="Times New Roman"/>
          <w:sz w:val="28"/>
          <w:szCs w:val="28"/>
        </w:rPr>
      </w:pPr>
      <w:r w:rsidRPr="00716D1E">
        <w:rPr>
          <w:rFonts w:ascii="Times New Roman" w:eastAsia="標楷體" w:hAnsi="Times New Roman" w:cs="Times New Roman"/>
          <w:sz w:val="28"/>
          <w:szCs w:val="28"/>
        </w:rPr>
        <w:t xml:space="preserve">(4) Government can launch micro-finance targeted for </w:t>
      </w:r>
      <w:r w:rsidR="00D26B13" w:rsidRPr="00716D1E">
        <w:rPr>
          <w:rFonts w:ascii="Times New Roman" w:eastAsia="標楷體" w:hAnsi="Times New Roman" w:cs="Times New Roman"/>
          <w:sz w:val="28"/>
          <w:szCs w:val="28"/>
        </w:rPr>
        <w:t>green</w:t>
      </w:r>
      <w:r w:rsidRPr="00716D1E">
        <w:rPr>
          <w:rFonts w:ascii="Times New Roman" w:eastAsia="標楷體" w:hAnsi="Times New Roman" w:cs="Times New Roman"/>
          <w:sz w:val="28"/>
          <w:szCs w:val="28"/>
        </w:rPr>
        <w:t xml:space="preserve"> energy projects of disadvantaged groups to improve energy access and to alleviate energy poverty. </w:t>
      </w:r>
    </w:p>
    <w:bookmarkEnd w:id="7"/>
    <w:bookmarkEnd w:id="8"/>
    <w:p w14:paraId="35FC8AEE" w14:textId="77777777" w:rsidR="006B0565" w:rsidRPr="00716D1E" w:rsidRDefault="006B0565" w:rsidP="006B0565">
      <w:pPr>
        <w:rPr>
          <w:rFonts w:ascii="Times New Roman" w:eastAsia="標楷體" w:hAnsi="Times New Roman" w:cs="Times New Roman"/>
          <w:sz w:val="28"/>
          <w:szCs w:val="28"/>
        </w:rPr>
      </w:pPr>
    </w:p>
    <w:p w14:paraId="702AF886" w14:textId="77777777"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bookmarkStart w:id="15" w:name="OLE_LINK13"/>
      <w:bookmarkStart w:id="16" w:name="OLE_LINK15"/>
      <w:r w:rsidRPr="001633D9">
        <w:rPr>
          <w:rFonts w:ascii="Times New Roman" w:eastAsia="標楷體" w:hAnsi="Times New Roman" w:cs="Times New Roman"/>
          <w:sz w:val="28"/>
          <w:szCs w:val="28"/>
        </w:rPr>
        <w:t xml:space="preserve">2.System Improvement </w:t>
      </w:r>
    </w:p>
    <w:p w14:paraId="3B8D1AC0" w14:textId="77777777"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(1)</w:t>
      </w:r>
      <w:r w:rsidRPr="001633D9">
        <w:rPr>
          <w:rFonts w:ascii="Times New Roman" w:eastAsia="標楷體" w:hAnsi="Times New Roman" w:cs="Times New Roman" w:hint="eastAsia"/>
          <w:sz w:val="28"/>
          <w:szCs w:val="28"/>
        </w:rPr>
        <w:t xml:space="preserve"> T</w:t>
      </w:r>
      <w:r w:rsidRPr="001633D9">
        <w:rPr>
          <w:rFonts w:ascii="Times New Roman" w:eastAsia="標楷體" w:hAnsi="Times New Roman" w:cs="Times New Roman"/>
          <w:sz w:val="28"/>
          <w:szCs w:val="28"/>
        </w:rPr>
        <w:t xml:space="preserve">o improve market environment for green energy finance, it is encouraged to </w:t>
      </w:r>
      <w:r w:rsidRPr="001633D9">
        <w:rPr>
          <w:rFonts w:ascii="Times New Roman" w:hAnsi="Times New Roman" w:cs="Times New Roman"/>
          <w:sz w:val="28"/>
          <w:szCs w:val="28"/>
        </w:rPr>
        <w:t>develop rating system, credit rating system, dispute settlement</w:t>
      </w:r>
      <w:r w:rsidRPr="001633D9">
        <w:rPr>
          <w:rFonts w:ascii="Times New Roman" w:hAnsi="Times New Roman" w:cs="Times New Roman" w:hint="eastAsia"/>
          <w:sz w:val="28"/>
          <w:szCs w:val="28"/>
        </w:rPr>
        <w:t xml:space="preserve"> </w:t>
      </w:r>
      <w:r w:rsidRPr="001633D9">
        <w:rPr>
          <w:rFonts w:ascii="Times New Roman" w:hAnsi="Times New Roman" w:cs="Times New Roman"/>
          <w:sz w:val="28"/>
          <w:szCs w:val="28"/>
        </w:rPr>
        <w:t xml:space="preserve">and risk management tools </w:t>
      </w:r>
      <w:r w:rsidRPr="001633D9">
        <w:rPr>
          <w:rFonts w:ascii="Times New Roman" w:eastAsia="標楷體" w:hAnsi="Times New Roman" w:cs="Times New Roman" w:hint="eastAsia"/>
          <w:sz w:val="28"/>
          <w:szCs w:val="28"/>
        </w:rPr>
        <w:t xml:space="preserve">for </w:t>
      </w:r>
      <w:r w:rsidRPr="001633D9">
        <w:rPr>
          <w:rFonts w:ascii="Times New Roman" w:eastAsia="標楷體" w:hAnsi="Times New Roman" w:cs="Times New Roman"/>
          <w:sz w:val="28"/>
          <w:szCs w:val="28"/>
        </w:rPr>
        <w:t xml:space="preserve">green energy finance business among </w:t>
      </w:r>
      <w:r w:rsidRPr="001633D9">
        <w:rPr>
          <w:rFonts w:ascii="Times New Roman" w:eastAsia="標楷體" w:hAnsi="Times New Roman" w:cs="Times New Roman" w:hint="eastAsia"/>
          <w:sz w:val="28"/>
          <w:szCs w:val="28"/>
        </w:rPr>
        <w:t>financial institutions</w:t>
      </w:r>
      <w:r w:rsidRPr="001633D9">
        <w:rPr>
          <w:rFonts w:ascii="Times New Roman" w:hAnsi="Times New Roman" w:cs="Times New Roman"/>
          <w:sz w:val="28"/>
          <w:szCs w:val="28"/>
        </w:rPr>
        <w:t>.</w:t>
      </w:r>
    </w:p>
    <w:p w14:paraId="2F480B26" w14:textId="77777777"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(2)</w:t>
      </w:r>
      <w:r w:rsidRPr="001633D9">
        <w:rPr>
          <w:rFonts w:ascii="Times New Roman" w:eastAsia="標楷體" w:hAnsi="Times New Roman" w:cs="Times New Roman" w:hint="eastAsia"/>
          <w:sz w:val="28"/>
          <w:szCs w:val="28"/>
        </w:rPr>
        <w:t xml:space="preserve"> </w:t>
      </w:r>
      <w:r w:rsidRPr="001633D9">
        <w:rPr>
          <w:rFonts w:ascii="Times New Roman" w:eastAsia="標楷體" w:hAnsi="Times New Roman" w:cs="Times New Roman"/>
          <w:sz w:val="28"/>
          <w:szCs w:val="28"/>
        </w:rPr>
        <w:t xml:space="preserve">In order to promote market transparency and data availability, </w:t>
      </w:r>
      <w:bookmarkStart w:id="17" w:name="OLE_LINK32"/>
      <w:r w:rsidRPr="001633D9">
        <w:rPr>
          <w:rFonts w:ascii="Times New Roman" w:eastAsia="標楷體" w:hAnsi="Times New Roman" w:cs="Times New Roman"/>
          <w:sz w:val="28"/>
          <w:szCs w:val="28"/>
        </w:rPr>
        <w:t>it is encouraged to</w:t>
      </w:r>
      <w:bookmarkEnd w:id="17"/>
      <w:r w:rsidRPr="001633D9">
        <w:rPr>
          <w:rFonts w:ascii="Times New Roman" w:eastAsia="標楷體" w:hAnsi="Times New Roman" w:cs="Times New Roman"/>
          <w:sz w:val="28"/>
          <w:szCs w:val="28"/>
        </w:rPr>
        <w:t xml:space="preserve"> establish green energy finance project sharing mechanism to share information, such as project sources and scales, major technical contents, cost control, risk monitoring and management, and project performance, in a standardized manner. </w:t>
      </w:r>
    </w:p>
    <w:p w14:paraId="79E06AA5" w14:textId="0CEA10D4"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(3) I</w:t>
      </w:r>
      <w:r w:rsidRPr="001633D9">
        <w:rPr>
          <w:rFonts w:ascii="Times New Roman" w:eastAsia="標楷體" w:hAnsi="Times New Roman" w:cs="Times New Roman" w:hint="eastAsia"/>
          <w:sz w:val="28"/>
          <w:szCs w:val="28"/>
        </w:rPr>
        <w:t xml:space="preserve">t is </w:t>
      </w:r>
      <w:r w:rsidRPr="001633D9">
        <w:rPr>
          <w:rFonts w:ascii="Times New Roman" w:eastAsia="標楷體" w:hAnsi="Times New Roman" w:cs="Times New Roman"/>
          <w:sz w:val="28"/>
          <w:szCs w:val="28"/>
        </w:rPr>
        <w:t xml:space="preserve">encouraged to formulate standard operation procedure to enhance finance practitioners’ capabilities </w:t>
      </w:r>
      <w:r w:rsidR="00D26B13" w:rsidRPr="001633D9">
        <w:rPr>
          <w:rFonts w:ascii="Times New Roman" w:eastAsia="標楷體" w:hAnsi="Times New Roman" w:cs="Times New Roman"/>
          <w:sz w:val="28"/>
          <w:szCs w:val="28"/>
        </w:rPr>
        <w:t xml:space="preserve">to take into account energy efficiency and other green energy aspects </w:t>
      </w:r>
      <w:r w:rsidRPr="001633D9">
        <w:rPr>
          <w:rFonts w:ascii="Times New Roman" w:eastAsia="標楷體" w:hAnsi="Times New Roman" w:cs="Times New Roman"/>
          <w:sz w:val="28"/>
          <w:szCs w:val="28"/>
        </w:rPr>
        <w:t xml:space="preserve">in mortgage and loan authorization, risk management and capital management in a systematic manner. </w:t>
      </w:r>
    </w:p>
    <w:p w14:paraId="316844D6" w14:textId="77777777"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(4) Promoting green energy demonstration projects can help explore innovative green energy business model, disseminate new financing tools and models, and facilitate the design of localized green energy finance framework.</w:t>
      </w:r>
      <w:r w:rsidRPr="001633D9" w:rsidDel="00F070E7">
        <w:rPr>
          <w:rFonts w:ascii="Times New Roman" w:eastAsia="標楷體" w:hAnsi="Times New Roman" w:cs="Times New Roman"/>
          <w:sz w:val="28"/>
          <w:szCs w:val="28"/>
        </w:rPr>
        <w:t xml:space="preserve"> </w:t>
      </w:r>
    </w:p>
    <w:p w14:paraId="08259A31" w14:textId="77777777"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 xml:space="preserve">(5)The adoption of Environmental, Social and Corporate Governance(ESG) and Social Responsible Investment(SRI) should be disseminated and stronger binding principles should be pursued. </w:t>
      </w:r>
    </w:p>
    <w:p w14:paraId="2598F21D" w14:textId="7B21751C"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(6) Large enterprises’ can team up with the SMEs in their supply chains in terms of energy target setting and energy audit</w:t>
      </w:r>
      <w:r w:rsidR="00D26B13" w:rsidRPr="001633D9">
        <w:rPr>
          <w:rFonts w:ascii="Times New Roman" w:eastAsia="標楷體" w:hAnsi="Times New Roman" w:cs="Times New Roman"/>
          <w:sz w:val="28"/>
          <w:szCs w:val="28"/>
        </w:rPr>
        <w:t xml:space="preserve">. As such they, as well as other actors (such as </w:t>
      </w:r>
      <w:bookmarkStart w:id="18" w:name="OLE_LINK34"/>
      <w:bookmarkStart w:id="19" w:name="OLE_LINK35"/>
      <w:r w:rsidR="00D26B13" w:rsidRPr="001633D9">
        <w:rPr>
          <w:rFonts w:ascii="Times New Roman" w:eastAsia="標楷體" w:hAnsi="Times New Roman" w:cs="Times New Roman"/>
          <w:sz w:val="28"/>
          <w:szCs w:val="28"/>
        </w:rPr>
        <w:t>industry associations</w:t>
      </w:r>
      <w:bookmarkEnd w:id="18"/>
      <w:bookmarkEnd w:id="19"/>
      <w:r w:rsidR="00D26B13" w:rsidRPr="001633D9">
        <w:rPr>
          <w:rFonts w:ascii="Times New Roman" w:eastAsia="標楷體" w:hAnsi="Times New Roman" w:cs="Times New Roman"/>
          <w:sz w:val="28"/>
          <w:szCs w:val="28"/>
        </w:rPr>
        <w:t xml:space="preserve">, utilities etc.) </w:t>
      </w:r>
      <w:r w:rsidRPr="001633D9">
        <w:rPr>
          <w:rFonts w:ascii="Times New Roman" w:eastAsia="標楷體" w:hAnsi="Times New Roman" w:cs="Times New Roman"/>
          <w:sz w:val="28"/>
          <w:szCs w:val="28"/>
        </w:rPr>
        <w:t>can serve as an effective platform to cluster SMEs together in a peer-to-peer business network.</w:t>
      </w:r>
      <w:bookmarkEnd w:id="15"/>
      <w:r w:rsidRPr="001633D9">
        <w:rPr>
          <w:rFonts w:ascii="Times New Roman" w:eastAsia="標楷體" w:hAnsi="Times New Roman" w:cs="Times New Roman" w:hint="eastAsia"/>
          <w:sz w:val="28"/>
          <w:szCs w:val="28"/>
        </w:rPr>
        <w:t xml:space="preserve"> </w:t>
      </w:r>
    </w:p>
    <w:bookmarkEnd w:id="16"/>
    <w:p w14:paraId="778D11BB" w14:textId="77777777" w:rsidR="006B0565" w:rsidRPr="001633D9" w:rsidRDefault="006B0565" w:rsidP="006B0565">
      <w:pPr>
        <w:rPr>
          <w:rFonts w:ascii="Times New Roman" w:eastAsia="標楷體" w:hAnsi="Times New Roman" w:cs="Times New Roman"/>
          <w:sz w:val="28"/>
          <w:szCs w:val="28"/>
        </w:rPr>
      </w:pPr>
    </w:p>
    <w:p w14:paraId="1AA30735" w14:textId="77777777"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bookmarkStart w:id="20" w:name="OLE_LINK19"/>
      <w:r w:rsidRPr="001633D9">
        <w:rPr>
          <w:rFonts w:ascii="Times New Roman" w:eastAsia="標楷體" w:hAnsi="Times New Roman" w:cs="Times New Roman"/>
          <w:sz w:val="28"/>
          <w:szCs w:val="28"/>
        </w:rPr>
        <w:t>3.Human Resource Development</w:t>
      </w:r>
    </w:p>
    <w:p w14:paraId="6724A107" w14:textId="77777777" w:rsidR="008D5AAA" w:rsidRPr="001633D9" w:rsidRDefault="006B0565" w:rsidP="008D5AAA">
      <w:pPr>
        <w:adjustRightInd w:val="0"/>
        <w:snapToGrid w:val="0"/>
        <w:spacing w:line="360" w:lineRule="auto"/>
        <w:jc w:val="both"/>
        <w:rPr>
          <w:rFonts w:ascii="Times New Roman" w:eastAsia="標楷體" w:hAnsi="Times New Roman" w:cs="Times New Roman"/>
          <w:sz w:val="28"/>
          <w:szCs w:val="28"/>
        </w:rPr>
      </w:pPr>
      <w:bookmarkStart w:id="21" w:name="OLE_LINK16"/>
      <w:bookmarkStart w:id="22" w:name="OLE_LINK17"/>
      <w:r w:rsidRPr="001633D9">
        <w:rPr>
          <w:rFonts w:ascii="Times New Roman" w:eastAsia="標楷體" w:hAnsi="Times New Roman" w:cs="Times New Roman"/>
          <w:sz w:val="28"/>
          <w:szCs w:val="28"/>
        </w:rPr>
        <w:lastRenderedPageBreak/>
        <w:t xml:space="preserve">(1) </w:t>
      </w:r>
      <w:bookmarkStart w:id="23" w:name="OLE_LINK27"/>
      <w:bookmarkStart w:id="24" w:name="OLE_LINK28"/>
      <w:r w:rsidRPr="001633D9">
        <w:rPr>
          <w:rFonts w:ascii="Times New Roman" w:eastAsia="標楷體" w:hAnsi="Times New Roman" w:cs="Times New Roman"/>
          <w:sz w:val="28"/>
          <w:szCs w:val="28"/>
        </w:rPr>
        <w:t>I</w:t>
      </w:r>
      <w:r w:rsidRPr="001633D9">
        <w:rPr>
          <w:rFonts w:ascii="Times New Roman" w:eastAsia="標楷體" w:hAnsi="Times New Roman" w:cs="Times New Roman" w:hint="eastAsia"/>
          <w:sz w:val="28"/>
          <w:szCs w:val="28"/>
        </w:rPr>
        <w:t xml:space="preserve">t is </w:t>
      </w:r>
      <w:r w:rsidRPr="001633D9">
        <w:rPr>
          <w:rFonts w:ascii="Times New Roman" w:eastAsia="標楷體" w:hAnsi="Times New Roman" w:cs="Times New Roman"/>
          <w:sz w:val="28"/>
          <w:szCs w:val="28"/>
        </w:rPr>
        <w:t xml:space="preserve">encouraged to </w:t>
      </w:r>
      <w:bookmarkEnd w:id="23"/>
      <w:bookmarkEnd w:id="24"/>
      <w:r w:rsidRPr="001633D9">
        <w:rPr>
          <w:rFonts w:ascii="Times New Roman" w:eastAsia="標楷體" w:hAnsi="Times New Roman" w:cs="Times New Roman"/>
          <w:sz w:val="28"/>
          <w:szCs w:val="28"/>
        </w:rPr>
        <w:t xml:space="preserve">develop policy makers’ capacity in understanding long-term green energy development trends and timely adjustment of policy direction if necessary. </w:t>
      </w:r>
    </w:p>
    <w:p w14:paraId="7B5847A1" w14:textId="1B7D31D6" w:rsidR="006B0565" w:rsidRPr="001633D9" w:rsidRDefault="008D5AAA" w:rsidP="006B0565">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w:t>
      </w:r>
      <w:r w:rsidRPr="001633D9">
        <w:rPr>
          <w:rFonts w:ascii="Times New Roman" w:eastAsia="標楷體" w:hAnsi="Times New Roman" w:cs="Times New Roman" w:hint="eastAsia"/>
          <w:sz w:val="28"/>
          <w:szCs w:val="28"/>
        </w:rPr>
        <w:t>2</w:t>
      </w:r>
      <w:r w:rsidRPr="001633D9">
        <w:rPr>
          <w:rFonts w:ascii="Times New Roman" w:eastAsia="標楷體" w:hAnsi="Times New Roman" w:cs="Times New Roman"/>
          <w:sz w:val="28"/>
          <w:szCs w:val="28"/>
        </w:rPr>
        <w:t xml:space="preserve">) It is encouraged to enhance the capabilities of policy makers in financial analysis in order to design green energy policies that stimulate green energy investment. </w:t>
      </w:r>
    </w:p>
    <w:p w14:paraId="7ECEC205" w14:textId="2CED9D89" w:rsidR="00D26B13" w:rsidRPr="001633D9" w:rsidRDefault="00D26B13" w:rsidP="00D26B13">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w:t>
      </w:r>
      <w:r w:rsidR="008D5AAA" w:rsidRPr="001633D9">
        <w:rPr>
          <w:rFonts w:ascii="Times New Roman" w:eastAsia="標楷體" w:hAnsi="Times New Roman" w:cs="Times New Roman" w:hint="eastAsia"/>
          <w:sz w:val="28"/>
          <w:szCs w:val="28"/>
        </w:rPr>
        <w:t>3</w:t>
      </w:r>
      <w:r w:rsidRPr="001633D9">
        <w:rPr>
          <w:rFonts w:ascii="Times New Roman" w:eastAsia="標楷體" w:hAnsi="Times New Roman" w:cs="Times New Roman"/>
          <w:sz w:val="28"/>
          <w:szCs w:val="28"/>
        </w:rPr>
        <w:t>)</w:t>
      </w:r>
      <w:r w:rsidRPr="001633D9">
        <w:rPr>
          <w:rFonts w:ascii="Times New Roman" w:hAnsi="Times New Roman" w:cs="Times New Roman"/>
          <w:sz w:val="28"/>
          <w:szCs w:val="28"/>
        </w:rPr>
        <w:t>It is encouraged to develop financial institutions’ capacity in understanding green energy and development of specialized products and services to scale up financing of green energy.</w:t>
      </w:r>
      <w:r w:rsidRPr="001633D9">
        <w:rPr>
          <w:rFonts w:ascii="Times New Roman" w:eastAsia="標楷體" w:hAnsi="Times New Roman" w:cs="Times New Roman"/>
          <w:sz w:val="28"/>
          <w:szCs w:val="28"/>
        </w:rPr>
        <w:t xml:space="preserve"> </w:t>
      </w:r>
    </w:p>
    <w:p w14:paraId="769208E4" w14:textId="32C14C7D" w:rsidR="006B0565" w:rsidRPr="001633D9" w:rsidRDefault="006B0565" w:rsidP="00D26B13">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w:t>
      </w:r>
      <w:r w:rsidR="00D26B13" w:rsidRPr="001633D9">
        <w:rPr>
          <w:rFonts w:ascii="Times New Roman" w:eastAsia="標楷體" w:hAnsi="Times New Roman" w:cs="Times New Roman"/>
          <w:sz w:val="28"/>
          <w:szCs w:val="28"/>
        </w:rPr>
        <w:t>4</w:t>
      </w:r>
      <w:r w:rsidRPr="001633D9">
        <w:rPr>
          <w:rFonts w:ascii="Times New Roman" w:eastAsia="標楷體" w:hAnsi="Times New Roman" w:cs="Times New Roman"/>
          <w:sz w:val="28"/>
          <w:szCs w:val="28"/>
        </w:rPr>
        <w:t>)</w:t>
      </w:r>
      <w:r w:rsidR="00D26B13" w:rsidRPr="001633D9">
        <w:rPr>
          <w:rFonts w:ascii="Times New Roman" w:eastAsia="標楷體" w:hAnsi="Times New Roman" w:cs="Times New Roman"/>
          <w:sz w:val="28"/>
          <w:szCs w:val="28"/>
        </w:rPr>
        <w:t xml:space="preserve"> </w:t>
      </w:r>
      <w:r w:rsidRPr="001633D9">
        <w:rPr>
          <w:rFonts w:ascii="Times New Roman" w:eastAsia="標楷體" w:hAnsi="Times New Roman" w:cs="Times New Roman"/>
          <w:sz w:val="28"/>
          <w:szCs w:val="28"/>
        </w:rPr>
        <w:t>I</w:t>
      </w:r>
      <w:r w:rsidRPr="001633D9">
        <w:rPr>
          <w:rFonts w:ascii="Times New Roman" w:eastAsia="標楷體" w:hAnsi="Times New Roman" w:cs="Times New Roman" w:hint="eastAsia"/>
          <w:sz w:val="28"/>
          <w:szCs w:val="28"/>
        </w:rPr>
        <w:t xml:space="preserve">t is </w:t>
      </w:r>
      <w:r w:rsidRPr="001633D9">
        <w:rPr>
          <w:rFonts w:ascii="Times New Roman" w:eastAsia="標楷體" w:hAnsi="Times New Roman" w:cs="Times New Roman"/>
          <w:sz w:val="28"/>
          <w:szCs w:val="28"/>
        </w:rPr>
        <w:t>encouraged to reduce information asymmetry among stakeholders and to enhance their capacity in participating in green energy projects</w:t>
      </w:r>
      <w:r w:rsidRPr="001633D9">
        <w:rPr>
          <w:rFonts w:ascii="Times New Roman" w:eastAsia="標楷體" w:hAnsi="Times New Roman" w:cs="Times New Roman" w:hint="eastAsia"/>
          <w:sz w:val="28"/>
          <w:szCs w:val="28"/>
        </w:rPr>
        <w:t xml:space="preserve"> </w:t>
      </w:r>
      <w:r w:rsidRPr="001633D9">
        <w:rPr>
          <w:rFonts w:ascii="Times New Roman" w:eastAsia="標楷體" w:hAnsi="Times New Roman" w:cs="Times New Roman"/>
          <w:sz w:val="28"/>
          <w:szCs w:val="28"/>
        </w:rPr>
        <w:t>by providing targeted experience sharing and training sessions.</w:t>
      </w:r>
      <w:bookmarkEnd w:id="20"/>
      <w:bookmarkEnd w:id="21"/>
      <w:bookmarkEnd w:id="22"/>
      <w:r w:rsidRPr="001633D9">
        <w:rPr>
          <w:rFonts w:ascii="Times New Roman" w:eastAsia="標楷體" w:hAnsi="Times New Roman" w:cs="Times New Roman"/>
          <w:sz w:val="28"/>
          <w:szCs w:val="28"/>
        </w:rPr>
        <w:t xml:space="preserve"> </w:t>
      </w:r>
    </w:p>
    <w:p w14:paraId="5B6C12CE" w14:textId="77777777"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p>
    <w:p w14:paraId="50558A32" w14:textId="77777777"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bookmarkStart w:id="25" w:name="OLE_LINK18"/>
      <w:r w:rsidRPr="001633D9">
        <w:rPr>
          <w:rFonts w:ascii="Times New Roman" w:eastAsia="標楷體" w:hAnsi="Times New Roman" w:cs="Times New Roman"/>
          <w:sz w:val="28"/>
          <w:szCs w:val="28"/>
        </w:rPr>
        <w:t>4.International cooperation</w:t>
      </w:r>
    </w:p>
    <w:p w14:paraId="7CA38A8F" w14:textId="03E88BD1"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 xml:space="preserve">(1) </w:t>
      </w:r>
      <w:r w:rsidR="008D5AAA" w:rsidRPr="001633D9">
        <w:rPr>
          <w:rFonts w:ascii="Times New Roman" w:eastAsia="標楷體" w:hAnsi="Times New Roman" w:cs="Times New Roman"/>
          <w:sz w:val="28"/>
          <w:szCs w:val="28"/>
        </w:rPr>
        <w:t>Many important international organizations and forums, such as</w:t>
      </w:r>
      <w:r w:rsidR="008D5AAA" w:rsidRPr="001633D9">
        <w:rPr>
          <w:rFonts w:ascii="Times New Roman" w:eastAsia="標楷體" w:hAnsi="Times New Roman" w:cs="Times New Roman" w:hint="eastAsia"/>
          <w:sz w:val="28"/>
          <w:szCs w:val="28"/>
        </w:rPr>
        <w:t xml:space="preserve"> </w:t>
      </w:r>
      <w:r w:rsidR="008D5AAA" w:rsidRPr="001633D9">
        <w:rPr>
          <w:rFonts w:ascii="Times New Roman" w:eastAsia="標楷體" w:hAnsi="Times New Roman" w:cs="Times New Roman"/>
          <w:sz w:val="28"/>
          <w:szCs w:val="28"/>
        </w:rPr>
        <w:t>ASEAN, G20, IEA, IPEEC, and OECD endeavor on promoting green energy finance.</w:t>
      </w:r>
      <w:r w:rsidRPr="001633D9">
        <w:rPr>
          <w:rFonts w:ascii="Times New Roman" w:eastAsia="標楷體" w:hAnsi="Times New Roman" w:cs="Times New Roman"/>
          <w:sz w:val="28"/>
          <w:szCs w:val="28"/>
        </w:rPr>
        <w:t xml:space="preserve"> Under the framework of APEC, i</w:t>
      </w:r>
      <w:r w:rsidRPr="001633D9">
        <w:rPr>
          <w:rFonts w:ascii="Times New Roman" w:eastAsia="標楷體" w:hAnsi="Times New Roman" w:cs="Times New Roman" w:hint="eastAsia"/>
          <w:sz w:val="28"/>
          <w:szCs w:val="28"/>
        </w:rPr>
        <w:t xml:space="preserve">t is </w:t>
      </w:r>
      <w:r w:rsidRPr="001633D9">
        <w:rPr>
          <w:rFonts w:ascii="Times New Roman" w:eastAsia="標楷體" w:hAnsi="Times New Roman" w:cs="Times New Roman"/>
          <w:sz w:val="28"/>
          <w:szCs w:val="28"/>
        </w:rPr>
        <w:t xml:space="preserve">encouraged to pursue cross fora cooperation with other international organizations to enhance synergy on green energy finance issues among all policy bodies of APEC to jointly achieve APEC’s ambitious energy intensity reduction and renewable energy doubling goal. </w:t>
      </w:r>
    </w:p>
    <w:p w14:paraId="29078D75" w14:textId="77777777" w:rsidR="006B0565" w:rsidRPr="001633D9" w:rsidRDefault="006B0565" w:rsidP="006B0565">
      <w:pPr>
        <w:adjustRightInd w:val="0"/>
        <w:snapToGrid w:val="0"/>
        <w:spacing w:line="360" w:lineRule="auto"/>
        <w:jc w:val="both"/>
        <w:rPr>
          <w:rFonts w:ascii="Times New Roman" w:eastAsia="標楷體" w:hAnsi="Times New Roman" w:cs="Times New Roman"/>
          <w:sz w:val="28"/>
          <w:szCs w:val="28"/>
        </w:rPr>
      </w:pPr>
      <w:r w:rsidRPr="001633D9">
        <w:rPr>
          <w:rFonts w:ascii="Times New Roman" w:eastAsia="標楷體" w:hAnsi="Times New Roman" w:cs="Times New Roman"/>
          <w:sz w:val="28"/>
          <w:szCs w:val="28"/>
        </w:rPr>
        <w:t xml:space="preserve">(2) It is encouraged to expedite best practice sharing to shorten the learning curves of each economy and to facilitate green energy finance. </w:t>
      </w:r>
      <w:bookmarkEnd w:id="25"/>
    </w:p>
    <w:bookmarkEnd w:id="0"/>
    <w:p w14:paraId="21CA7E93" w14:textId="77777777" w:rsidR="006B0565" w:rsidRPr="001633D9" w:rsidRDefault="006B0565"/>
    <w:sectPr w:rsidR="006B0565" w:rsidRPr="001633D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59DDF" w14:textId="77777777" w:rsidR="003A04CC" w:rsidRDefault="003A04CC" w:rsidP="003C7F62">
      <w:r>
        <w:separator/>
      </w:r>
    </w:p>
  </w:endnote>
  <w:endnote w:type="continuationSeparator" w:id="0">
    <w:p w14:paraId="5148CDDD" w14:textId="77777777" w:rsidR="003A04CC" w:rsidRDefault="003A04CC" w:rsidP="003C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696773"/>
      <w:docPartObj>
        <w:docPartGallery w:val="Page Numbers (Bottom of Page)"/>
        <w:docPartUnique/>
      </w:docPartObj>
    </w:sdtPr>
    <w:sdtEndPr>
      <w:rPr>
        <w:rFonts w:ascii="Times New Roman" w:eastAsia="標楷體" w:hAnsi="Times New Roman" w:cs="Times New Roman"/>
      </w:rPr>
    </w:sdtEndPr>
    <w:sdtContent>
      <w:p w14:paraId="43765F91" w14:textId="02485945" w:rsidR="00057D2F" w:rsidRPr="00057D2F" w:rsidRDefault="00057D2F" w:rsidP="00057D2F">
        <w:pPr>
          <w:pStyle w:val="aa"/>
          <w:jc w:val="center"/>
          <w:rPr>
            <w:rFonts w:ascii="Times New Roman" w:eastAsia="標楷體" w:hAnsi="Times New Roman" w:cs="Times New Roman"/>
          </w:rPr>
        </w:pPr>
        <w:r w:rsidRPr="00057D2F">
          <w:rPr>
            <w:rStyle w:val="ae"/>
            <w:rFonts w:ascii="Times New Roman" w:eastAsia="標楷體" w:hAnsi="Times New Roman" w:cs="Times New Roman"/>
          </w:rPr>
          <w:fldChar w:fldCharType="begin"/>
        </w:r>
        <w:r w:rsidRPr="00057D2F">
          <w:rPr>
            <w:rStyle w:val="ae"/>
            <w:rFonts w:ascii="Times New Roman" w:eastAsia="標楷體" w:hAnsi="Times New Roman" w:cs="Times New Roman"/>
          </w:rPr>
          <w:instrText xml:space="preserve"> PAGE </w:instrText>
        </w:r>
        <w:r w:rsidRPr="00057D2F">
          <w:rPr>
            <w:rStyle w:val="ae"/>
            <w:rFonts w:ascii="Times New Roman" w:eastAsia="標楷體" w:hAnsi="Times New Roman" w:cs="Times New Roman"/>
          </w:rPr>
          <w:fldChar w:fldCharType="separate"/>
        </w:r>
        <w:r>
          <w:rPr>
            <w:rStyle w:val="ae"/>
            <w:rFonts w:ascii="Times New Roman" w:eastAsia="標楷體" w:hAnsi="Times New Roman" w:cs="Times New Roman"/>
            <w:noProof/>
          </w:rPr>
          <w:t>7</w:t>
        </w:r>
        <w:r w:rsidRPr="00057D2F">
          <w:rPr>
            <w:rStyle w:val="ae"/>
            <w:rFonts w:ascii="Times New Roman" w:eastAsia="標楷體"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7818" w14:textId="77777777" w:rsidR="003A04CC" w:rsidRDefault="003A04CC" w:rsidP="003C7F62">
      <w:r>
        <w:separator/>
      </w:r>
    </w:p>
  </w:footnote>
  <w:footnote w:type="continuationSeparator" w:id="0">
    <w:p w14:paraId="38667E21" w14:textId="77777777" w:rsidR="003A04CC" w:rsidRDefault="003A04CC" w:rsidP="003C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E1B33"/>
    <w:multiLevelType w:val="hybridMultilevel"/>
    <w:tmpl w:val="52F03B8E"/>
    <w:lvl w:ilvl="0" w:tplc="3F889D62">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565"/>
    <w:rsid w:val="000019A0"/>
    <w:rsid w:val="00004286"/>
    <w:rsid w:val="00057D2F"/>
    <w:rsid w:val="0006218B"/>
    <w:rsid w:val="000D5A1A"/>
    <w:rsid w:val="00117983"/>
    <w:rsid w:val="00157121"/>
    <w:rsid w:val="001633D9"/>
    <w:rsid w:val="00187380"/>
    <w:rsid w:val="001916C8"/>
    <w:rsid w:val="00232F46"/>
    <w:rsid w:val="00234FCA"/>
    <w:rsid w:val="00305275"/>
    <w:rsid w:val="003A04CC"/>
    <w:rsid w:val="003C7F62"/>
    <w:rsid w:val="00433354"/>
    <w:rsid w:val="00433F58"/>
    <w:rsid w:val="004368FA"/>
    <w:rsid w:val="005F460F"/>
    <w:rsid w:val="005F6E63"/>
    <w:rsid w:val="00614932"/>
    <w:rsid w:val="00627080"/>
    <w:rsid w:val="00672CBB"/>
    <w:rsid w:val="006B0565"/>
    <w:rsid w:val="006E6577"/>
    <w:rsid w:val="0070657F"/>
    <w:rsid w:val="00716D1E"/>
    <w:rsid w:val="00754799"/>
    <w:rsid w:val="00787A76"/>
    <w:rsid w:val="007B08EC"/>
    <w:rsid w:val="007C68D7"/>
    <w:rsid w:val="007D0BEE"/>
    <w:rsid w:val="0081591B"/>
    <w:rsid w:val="00816B95"/>
    <w:rsid w:val="008D5AAA"/>
    <w:rsid w:val="008E1B1D"/>
    <w:rsid w:val="0090336F"/>
    <w:rsid w:val="009152A0"/>
    <w:rsid w:val="009164F9"/>
    <w:rsid w:val="00960DBD"/>
    <w:rsid w:val="00974325"/>
    <w:rsid w:val="009B64EA"/>
    <w:rsid w:val="00A12376"/>
    <w:rsid w:val="00A23560"/>
    <w:rsid w:val="00A35163"/>
    <w:rsid w:val="00AB1659"/>
    <w:rsid w:val="00B726F7"/>
    <w:rsid w:val="00B8725D"/>
    <w:rsid w:val="00B87952"/>
    <w:rsid w:val="00BA4168"/>
    <w:rsid w:val="00BE0020"/>
    <w:rsid w:val="00BE3BEC"/>
    <w:rsid w:val="00BE5F9E"/>
    <w:rsid w:val="00C76FA4"/>
    <w:rsid w:val="00C93210"/>
    <w:rsid w:val="00C95469"/>
    <w:rsid w:val="00CC0D37"/>
    <w:rsid w:val="00CC44D2"/>
    <w:rsid w:val="00CF6279"/>
    <w:rsid w:val="00D26B13"/>
    <w:rsid w:val="00D34145"/>
    <w:rsid w:val="00D7309E"/>
    <w:rsid w:val="00D825BF"/>
    <w:rsid w:val="00E57115"/>
    <w:rsid w:val="00E61D28"/>
    <w:rsid w:val="00E808FA"/>
    <w:rsid w:val="00EC04E3"/>
    <w:rsid w:val="00EF760A"/>
    <w:rsid w:val="00F05167"/>
    <w:rsid w:val="00F214FF"/>
    <w:rsid w:val="00F31CF6"/>
    <w:rsid w:val="00F45639"/>
    <w:rsid w:val="00F65932"/>
    <w:rsid w:val="00F97C52"/>
    <w:rsid w:val="00FA4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605F0"/>
  <w15:docId w15:val="{0D9CED4F-12BB-4FD3-8612-CCE946D3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5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0565"/>
    <w:rPr>
      <w:sz w:val="18"/>
      <w:szCs w:val="18"/>
    </w:rPr>
  </w:style>
  <w:style w:type="paragraph" w:styleId="a4">
    <w:name w:val="annotation text"/>
    <w:basedOn w:val="a"/>
    <w:link w:val="a5"/>
    <w:uiPriority w:val="99"/>
    <w:semiHidden/>
    <w:unhideWhenUsed/>
    <w:rsid w:val="006B0565"/>
  </w:style>
  <w:style w:type="character" w:customStyle="1" w:styleId="a5">
    <w:name w:val="註解文字 字元"/>
    <w:basedOn w:val="a0"/>
    <w:link w:val="a4"/>
    <w:uiPriority w:val="99"/>
    <w:semiHidden/>
    <w:rsid w:val="006B0565"/>
  </w:style>
  <w:style w:type="paragraph" w:styleId="a6">
    <w:name w:val="Balloon Text"/>
    <w:basedOn w:val="a"/>
    <w:link w:val="a7"/>
    <w:uiPriority w:val="99"/>
    <w:semiHidden/>
    <w:unhideWhenUsed/>
    <w:rsid w:val="003C7F6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C7F62"/>
    <w:rPr>
      <w:rFonts w:asciiTheme="majorHAnsi" w:eastAsiaTheme="majorEastAsia" w:hAnsiTheme="majorHAnsi" w:cstheme="majorBidi"/>
      <w:sz w:val="18"/>
      <w:szCs w:val="18"/>
    </w:rPr>
  </w:style>
  <w:style w:type="paragraph" w:styleId="a8">
    <w:name w:val="header"/>
    <w:basedOn w:val="a"/>
    <w:link w:val="a9"/>
    <w:uiPriority w:val="99"/>
    <w:unhideWhenUsed/>
    <w:rsid w:val="003C7F62"/>
    <w:pPr>
      <w:tabs>
        <w:tab w:val="center" w:pos="4153"/>
        <w:tab w:val="right" w:pos="8306"/>
      </w:tabs>
      <w:snapToGrid w:val="0"/>
    </w:pPr>
    <w:rPr>
      <w:sz w:val="20"/>
      <w:szCs w:val="20"/>
    </w:rPr>
  </w:style>
  <w:style w:type="character" w:customStyle="1" w:styleId="a9">
    <w:name w:val="頁首 字元"/>
    <w:basedOn w:val="a0"/>
    <w:link w:val="a8"/>
    <w:uiPriority w:val="99"/>
    <w:rsid w:val="003C7F62"/>
    <w:rPr>
      <w:sz w:val="20"/>
      <w:szCs w:val="20"/>
    </w:rPr>
  </w:style>
  <w:style w:type="paragraph" w:styleId="aa">
    <w:name w:val="footer"/>
    <w:basedOn w:val="a"/>
    <w:link w:val="ab"/>
    <w:uiPriority w:val="99"/>
    <w:unhideWhenUsed/>
    <w:rsid w:val="003C7F62"/>
    <w:pPr>
      <w:tabs>
        <w:tab w:val="center" w:pos="4153"/>
        <w:tab w:val="right" w:pos="8306"/>
      </w:tabs>
      <w:snapToGrid w:val="0"/>
    </w:pPr>
    <w:rPr>
      <w:sz w:val="20"/>
      <w:szCs w:val="20"/>
    </w:rPr>
  </w:style>
  <w:style w:type="character" w:customStyle="1" w:styleId="ab">
    <w:name w:val="頁尾 字元"/>
    <w:basedOn w:val="a0"/>
    <w:link w:val="aa"/>
    <w:uiPriority w:val="99"/>
    <w:rsid w:val="003C7F62"/>
    <w:rPr>
      <w:sz w:val="20"/>
      <w:szCs w:val="20"/>
    </w:rPr>
  </w:style>
  <w:style w:type="paragraph" w:styleId="ac">
    <w:name w:val="Revision"/>
    <w:hidden/>
    <w:uiPriority w:val="99"/>
    <w:semiHidden/>
    <w:rsid w:val="003C7F62"/>
  </w:style>
  <w:style w:type="paragraph" w:styleId="ad">
    <w:name w:val="List Paragraph"/>
    <w:basedOn w:val="a"/>
    <w:uiPriority w:val="34"/>
    <w:qFormat/>
    <w:rsid w:val="00305275"/>
    <w:pPr>
      <w:ind w:leftChars="200" w:left="480"/>
    </w:pPr>
  </w:style>
  <w:style w:type="character" w:styleId="ae">
    <w:name w:val="page number"/>
    <w:basedOn w:val="a0"/>
    <w:unhideWhenUsed/>
    <w:rsid w:val="0005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935</Words>
  <Characters>5331</Characters>
  <Application>Microsoft Office Word</Application>
  <DocSecurity>0</DocSecurity>
  <Lines>44</Lines>
  <Paragraphs>12</Paragraphs>
  <ScaleCrop>false</ScaleCrop>
  <Company>MOEABOE</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宋俐瑩</dc:creator>
  <cp:lastModifiedBy>毛嘉瑜</cp:lastModifiedBy>
  <cp:revision>8</cp:revision>
  <dcterms:created xsi:type="dcterms:W3CDTF">2017-11-15T02:41:00Z</dcterms:created>
  <dcterms:modified xsi:type="dcterms:W3CDTF">2018-11-28T03:06:00Z</dcterms:modified>
</cp:coreProperties>
</file>