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57F2" w:rsidRPr="00C517F8" w:rsidRDefault="005B57F2" w:rsidP="00C26E26">
      <w:pPr>
        <w:jc w:val="center"/>
        <w:rPr>
          <w:rFonts w:ascii="Times New Roman" w:hAnsi="Times New Roman" w:cs="Times New Roman"/>
          <w:b/>
          <w:sz w:val="28"/>
          <w:szCs w:val="24"/>
        </w:rPr>
      </w:pPr>
      <w:r w:rsidRPr="00C517F8">
        <w:rPr>
          <w:rFonts w:ascii="Times New Roman" w:hAnsi="Times New Roman" w:cs="Times New Roman"/>
          <w:b/>
          <w:sz w:val="28"/>
          <w:szCs w:val="24"/>
        </w:rPr>
        <w:t>Summary of Conclusions from the</w:t>
      </w:r>
    </w:p>
    <w:p w:rsidR="005B57F2" w:rsidRPr="00C517F8" w:rsidRDefault="005B57F2" w:rsidP="005B57F2">
      <w:pPr>
        <w:widowControl w:val="0"/>
        <w:jc w:val="center"/>
        <w:rPr>
          <w:rFonts w:ascii="Times New Roman" w:hAnsi="Times New Roman" w:cs="Times New Roman"/>
          <w:b/>
          <w:sz w:val="28"/>
          <w:szCs w:val="24"/>
        </w:rPr>
      </w:pPr>
      <w:r w:rsidRPr="00C517F8">
        <w:rPr>
          <w:rFonts w:ascii="Times New Roman" w:hAnsi="Times New Roman" w:cs="Times New Roman"/>
          <w:b/>
          <w:sz w:val="28"/>
          <w:szCs w:val="24"/>
        </w:rPr>
        <w:t>APEC Regional LNG Trade Facilitation Conference</w:t>
      </w:r>
    </w:p>
    <w:p w:rsidR="00493DC4" w:rsidRPr="00C517F8" w:rsidRDefault="00493DC4" w:rsidP="005B57F2">
      <w:pPr>
        <w:widowControl w:val="0"/>
        <w:jc w:val="center"/>
        <w:rPr>
          <w:rFonts w:ascii="Times New Roman" w:hAnsi="Times New Roman" w:cs="Times New Roman"/>
          <w:b/>
          <w:sz w:val="24"/>
          <w:szCs w:val="24"/>
        </w:rPr>
      </w:pPr>
      <w:r w:rsidRPr="00C517F8">
        <w:rPr>
          <w:rFonts w:ascii="Times New Roman" w:hAnsi="Times New Roman" w:cs="Times New Roman"/>
          <w:b/>
          <w:sz w:val="28"/>
          <w:szCs w:val="24"/>
        </w:rPr>
        <w:t>16 July 2015, Taipei, Chinese Taipei</w:t>
      </w:r>
    </w:p>
    <w:p w:rsidR="00236E7F" w:rsidRPr="00C517F8" w:rsidRDefault="00236E7F" w:rsidP="005B57F2">
      <w:pPr>
        <w:widowControl w:val="0"/>
        <w:jc w:val="center"/>
        <w:rPr>
          <w:rFonts w:ascii="Times New Roman" w:hAnsi="Times New Roman" w:cs="Times New Roman"/>
          <w:b/>
          <w:sz w:val="24"/>
          <w:szCs w:val="24"/>
        </w:rPr>
      </w:pPr>
    </w:p>
    <w:p w:rsidR="005B57F2" w:rsidRPr="00C517F8" w:rsidRDefault="005B57F2" w:rsidP="005B57F2">
      <w:pPr>
        <w:widowControl w:val="0"/>
        <w:rPr>
          <w:rFonts w:ascii="Times New Roman" w:hAnsi="Times New Roman" w:cs="Times New Roman"/>
          <w:sz w:val="24"/>
          <w:szCs w:val="24"/>
        </w:rPr>
      </w:pPr>
      <w:r w:rsidRPr="00C517F8">
        <w:rPr>
          <w:rFonts w:ascii="Times New Roman" w:hAnsi="Times New Roman" w:cs="Times New Roman"/>
          <w:sz w:val="24"/>
          <w:szCs w:val="24"/>
        </w:rPr>
        <w:t>The use of liquefied natural gas (LNG) is expected to quickly grow in coming years.  However, rapid LNG demand growth imposes challenges for suppliers interested in reliable customers and buyers interested in stable supply at reasonable prices.  Because APEC economies represent some of the largest global producers and buyers of LNG, APEC economies have an interest in facilitating the efficient distribution of LNG.  The following are recommendations derived from the July 15-17, 2015, APEC Regional LNG Trade Facilitation Conference:</w:t>
      </w:r>
    </w:p>
    <w:p w:rsidR="005B57F2" w:rsidRPr="00C517F8" w:rsidRDefault="005B57F2" w:rsidP="005B57F2">
      <w:pPr>
        <w:pStyle w:val="a3"/>
        <w:widowControl w:val="0"/>
        <w:numPr>
          <w:ilvl w:val="0"/>
          <w:numId w:val="1"/>
        </w:numPr>
        <w:rPr>
          <w:rFonts w:ascii="Times New Roman" w:hAnsi="Times New Roman" w:cs="Times New Roman"/>
          <w:b/>
          <w:sz w:val="24"/>
          <w:szCs w:val="24"/>
          <w:u w:val="single"/>
        </w:rPr>
      </w:pPr>
      <w:r w:rsidRPr="00C517F8">
        <w:rPr>
          <w:rFonts w:ascii="Times New Roman" w:hAnsi="Times New Roman" w:cs="Times New Roman"/>
          <w:b/>
          <w:sz w:val="24"/>
          <w:szCs w:val="24"/>
          <w:u w:val="single"/>
        </w:rPr>
        <w:t>Energy policy is essential to LNG market development</w:t>
      </w:r>
    </w:p>
    <w:p w:rsidR="005B57F2" w:rsidRPr="00C517F8" w:rsidRDefault="005B57F2" w:rsidP="005B57F2">
      <w:pPr>
        <w:widowControl w:val="0"/>
        <w:rPr>
          <w:rFonts w:ascii="Times New Roman" w:hAnsi="Times New Roman" w:cs="Times New Roman"/>
          <w:sz w:val="24"/>
          <w:szCs w:val="24"/>
        </w:rPr>
      </w:pPr>
      <w:r w:rsidRPr="00C517F8">
        <w:rPr>
          <w:rFonts w:ascii="Times New Roman" w:hAnsi="Times New Roman" w:cs="Times New Roman"/>
          <w:sz w:val="24"/>
          <w:szCs w:val="24"/>
        </w:rPr>
        <w:t>Member economies are encouraged to develop sustainable and viable energy policies that help mobilize steady and balanced LNG supply and demand in the Asia-Pacific region.  Such policies should seek to reduce the uncertainty and risk associated with the development of markets.</w:t>
      </w:r>
    </w:p>
    <w:p w:rsidR="005B57F2" w:rsidRPr="00C517F8" w:rsidRDefault="005B57F2" w:rsidP="005B57F2">
      <w:pPr>
        <w:widowControl w:val="0"/>
        <w:rPr>
          <w:rFonts w:ascii="Times New Roman" w:hAnsi="Times New Roman" w:cs="Times New Roman"/>
          <w:sz w:val="24"/>
          <w:szCs w:val="24"/>
        </w:rPr>
      </w:pPr>
      <w:r w:rsidRPr="00C517F8">
        <w:rPr>
          <w:rFonts w:ascii="Times New Roman" w:hAnsi="Times New Roman" w:cs="Times New Roman"/>
          <w:sz w:val="24"/>
          <w:szCs w:val="24"/>
        </w:rPr>
        <w:t>LNG industry representatives should remain in close communication with respective governments to ensure policies are in line with industry needs and practices.</w:t>
      </w:r>
    </w:p>
    <w:p w:rsidR="005B57F2" w:rsidRPr="00C517F8" w:rsidRDefault="005B57F2" w:rsidP="005B57F2">
      <w:pPr>
        <w:pStyle w:val="a3"/>
        <w:widowControl w:val="0"/>
        <w:numPr>
          <w:ilvl w:val="0"/>
          <w:numId w:val="1"/>
        </w:numPr>
        <w:rPr>
          <w:rFonts w:ascii="Times New Roman" w:hAnsi="Times New Roman" w:cs="Times New Roman"/>
          <w:b/>
          <w:sz w:val="24"/>
          <w:szCs w:val="24"/>
          <w:u w:val="single"/>
        </w:rPr>
      </w:pPr>
      <w:r w:rsidRPr="00C517F8">
        <w:rPr>
          <w:rFonts w:ascii="Times New Roman" w:hAnsi="Times New Roman" w:cs="Times New Roman"/>
          <w:b/>
          <w:sz w:val="24"/>
          <w:szCs w:val="24"/>
          <w:u w:val="single"/>
        </w:rPr>
        <w:t>Supportive regulations are necessary to support the development of LNG projects</w:t>
      </w:r>
    </w:p>
    <w:p w:rsidR="005B57F2" w:rsidRPr="00C517F8" w:rsidRDefault="005B57F2" w:rsidP="005B57F2">
      <w:pPr>
        <w:widowControl w:val="0"/>
        <w:rPr>
          <w:rFonts w:ascii="Times New Roman" w:hAnsi="Times New Roman" w:cs="Times New Roman"/>
          <w:sz w:val="24"/>
          <w:szCs w:val="24"/>
        </w:rPr>
      </w:pPr>
      <w:r w:rsidRPr="00C517F8">
        <w:rPr>
          <w:rFonts w:ascii="Times New Roman" w:hAnsi="Times New Roman" w:cs="Times New Roman"/>
          <w:sz w:val="24"/>
          <w:szCs w:val="24"/>
        </w:rPr>
        <w:t>Policy makers should strengthen regional LNG trade by developing clear, transparent, coordinated and timely regulatory frameworks for the development, approval and permitting, and construction of LNG facilities.  Governments should encourage multilateral financial institutions to support the development and expansion of LNG projects.</w:t>
      </w:r>
    </w:p>
    <w:p w:rsidR="005B57F2" w:rsidRPr="00C517F8" w:rsidRDefault="005B57F2" w:rsidP="005B57F2">
      <w:pPr>
        <w:pStyle w:val="a3"/>
        <w:widowControl w:val="0"/>
        <w:numPr>
          <w:ilvl w:val="0"/>
          <w:numId w:val="1"/>
        </w:numPr>
        <w:rPr>
          <w:rFonts w:ascii="Times New Roman" w:hAnsi="Times New Roman" w:cs="Times New Roman"/>
          <w:b/>
          <w:sz w:val="24"/>
          <w:szCs w:val="24"/>
          <w:u w:val="single"/>
        </w:rPr>
      </w:pPr>
      <w:r w:rsidRPr="00C517F8">
        <w:rPr>
          <w:rFonts w:ascii="Times New Roman" w:hAnsi="Times New Roman" w:cs="Times New Roman"/>
          <w:b/>
          <w:sz w:val="24"/>
          <w:szCs w:val="24"/>
          <w:u w:val="single"/>
        </w:rPr>
        <w:t>Future development of LNG projects</w:t>
      </w:r>
    </w:p>
    <w:p w:rsidR="005B57F2" w:rsidRPr="00C517F8" w:rsidRDefault="005B57F2" w:rsidP="005B57F2">
      <w:pPr>
        <w:widowControl w:val="0"/>
        <w:rPr>
          <w:rFonts w:ascii="Times New Roman" w:hAnsi="Times New Roman" w:cs="Times New Roman"/>
          <w:sz w:val="24"/>
          <w:szCs w:val="24"/>
        </w:rPr>
      </w:pPr>
      <w:r w:rsidRPr="00C517F8">
        <w:rPr>
          <w:rFonts w:ascii="Times New Roman" w:hAnsi="Times New Roman" w:cs="Times New Roman"/>
          <w:sz w:val="24"/>
          <w:szCs w:val="24"/>
        </w:rPr>
        <w:t>Economies could enable the development of planned LNG projects by creating competitive fiscal environments, fostering a skilled workforce, and enhancing safety preparedness and response measures.</w:t>
      </w:r>
    </w:p>
    <w:p w:rsidR="005B57F2" w:rsidRPr="00C517F8" w:rsidRDefault="005B57F2" w:rsidP="005B57F2">
      <w:pPr>
        <w:pStyle w:val="a3"/>
        <w:widowControl w:val="0"/>
        <w:numPr>
          <w:ilvl w:val="0"/>
          <w:numId w:val="1"/>
        </w:numPr>
        <w:rPr>
          <w:rFonts w:ascii="Times New Roman" w:hAnsi="Times New Roman" w:cs="Times New Roman"/>
          <w:b/>
          <w:sz w:val="24"/>
          <w:szCs w:val="24"/>
          <w:u w:val="single"/>
        </w:rPr>
      </w:pPr>
      <w:r w:rsidRPr="00C517F8">
        <w:rPr>
          <w:rFonts w:ascii="Times New Roman" w:hAnsi="Times New Roman" w:cs="Times New Roman"/>
          <w:b/>
          <w:sz w:val="24"/>
          <w:szCs w:val="24"/>
          <w:u w:val="single"/>
        </w:rPr>
        <w:t>Strengthening the exchange of market information</w:t>
      </w:r>
    </w:p>
    <w:p w:rsidR="005B57F2" w:rsidRPr="00C517F8" w:rsidRDefault="005B57F2" w:rsidP="005B57F2">
      <w:pPr>
        <w:widowControl w:val="0"/>
        <w:rPr>
          <w:rFonts w:ascii="Times New Roman" w:hAnsi="Times New Roman" w:cs="Times New Roman"/>
          <w:sz w:val="24"/>
          <w:szCs w:val="24"/>
        </w:rPr>
      </w:pPr>
      <w:r w:rsidRPr="00C517F8">
        <w:rPr>
          <w:rFonts w:ascii="Times New Roman" w:hAnsi="Times New Roman" w:cs="Times New Roman"/>
          <w:sz w:val="24"/>
          <w:szCs w:val="24"/>
        </w:rPr>
        <w:t>Economies can support a more efficient market by sharing information related to market trends.  Member economies are encouraged to actively use JODI as a platform to collect and disseminate regional natural gas and LNG data and other non-confidential information.</w:t>
      </w:r>
    </w:p>
    <w:p w:rsidR="005B57F2" w:rsidRPr="00C517F8" w:rsidRDefault="005B57F2" w:rsidP="005B57F2">
      <w:pPr>
        <w:pStyle w:val="a3"/>
        <w:widowControl w:val="0"/>
        <w:numPr>
          <w:ilvl w:val="0"/>
          <w:numId w:val="1"/>
        </w:numPr>
        <w:rPr>
          <w:rFonts w:ascii="Times New Roman" w:hAnsi="Times New Roman" w:cs="Times New Roman"/>
          <w:b/>
          <w:sz w:val="24"/>
          <w:szCs w:val="24"/>
          <w:u w:val="single"/>
        </w:rPr>
      </w:pPr>
      <w:r w:rsidRPr="00C517F8">
        <w:rPr>
          <w:rFonts w:ascii="Times New Roman" w:hAnsi="Times New Roman" w:cs="Times New Roman"/>
          <w:b/>
          <w:sz w:val="24"/>
          <w:szCs w:val="24"/>
          <w:u w:val="single"/>
        </w:rPr>
        <w:t>Facilitate global LNG market transparency</w:t>
      </w:r>
    </w:p>
    <w:p w:rsidR="005B57F2" w:rsidRPr="00C517F8" w:rsidRDefault="005B57F2" w:rsidP="005B57F2">
      <w:pPr>
        <w:widowControl w:val="0"/>
        <w:rPr>
          <w:rFonts w:ascii="Times New Roman" w:hAnsi="Times New Roman" w:cs="Times New Roman"/>
          <w:sz w:val="24"/>
          <w:szCs w:val="24"/>
        </w:rPr>
      </w:pPr>
      <w:r w:rsidRPr="00C517F8">
        <w:rPr>
          <w:rFonts w:ascii="Times New Roman" w:hAnsi="Times New Roman" w:cs="Times New Roman"/>
          <w:sz w:val="24"/>
          <w:szCs w:val="24"/>
        </w:rPr>
        <w:lastRenderedPageBreak/>
        <w:t>Economies should support and strive for greater LNG market transparency.  Greater transparency on LNG prices, trade volumes, and end use, will support increased LNG trade and market liquidity.  A regional LNG trading hub could be one of the options for increased price transparency in the LNG market.</w:t>
      </w:r>
    </w:p>
    <w:p w:rsidR="005B57F2" w:rsidRPr="00C517F8" w:rsidRDefault="005B57F2" w:rsidP="005B57F2">
      <w:pPr>
        <w:pStyle w:val="a3"/>
        <w:numPr>
          <w:ilvl w:val="0"/>
          <w:numId w:val="1"/>
        </w:numPr>
        <w:rPr>
          <w:rFonts w:ascii="Times New Roman" w:hAnsi="Times New Roman" w:cs="Times New Roman"/>
          <w:b/>
          <w:sz w:val="24"/>
          <w:szCs w:val="24"/>
          <w:u w:val="single"/>
        </w:rPr>
      </w:pPr>
      <w:r w:rsidRPr="00C517F8">
        <w:rPr>
          <w:rFonts w:ascii="Times New Roman" w:hAnsi="Times New Roman" w:cs="Times New Roman"/>
          <w:b/>
          <w:sz w:val="24"/>
          <w:szCs w:val="24"/>
          <w:u w:val="single"/>
        </w:rPr>
        <w:t xml:space="preserve">APEC economies should pursue a market that functions efficiently and that balances producer and consumer interests </w:t>
      </w:r>
    </w:p>
    <w:p w:rsidR="005B57F2" w:rsidRPr="00C517F8" w:rsidRDefault="005B57F2" w:rsidP="005B57F2">
      <w:pPr>
        <w:rPr>
          <w:rFonts w:ascii="Times New Roman" w:hAnsi="Times New Roman" w:cs="Times New Roman"/>
          <w:sz w:val="24"/>
          <w:szCs w:val="24"/>
        </w:rPr>
      </w:pPr>
      <w:r w:rsidRPr="00C517F8">
        <w:rPr>
          <w:rFonts w:ascii="Times New Roman" w:hAnsi="Times New Roman" w:cs="Times New Roman"/>
          <w:sz w:val="24"/>
          <w:szCs w:val="24"/>
        </w:rPr>
        <w:t xml:space="preserve">Cooperation between APEC economies is necessary to effectively balance the interest of producers and consumers and enable an efficient LNG market.  </w:t>
      </w:r>
    </w:p>
    <w:p w:rsidR="005B57F2" w:rsidRDefault="005B57F2" w:rsidP="005B57F2">
      <w:pPr>
        <w:rPr>
          <w:rFonts w:ascii="Times New Roman" w:hAnsi="Times New Roman" w:cs="Times New Roman"/>
          <w:sz w:val="24"/>
          <w:szCs w:val="24"/>
          <w:lang w:eastAsia="zh-TW"/>
        </w:rPr>
      </w:pPr>
      <w:r w:rsidRPr="00C517F8">
        <w:rPr>
          <w:rFonts w:ascii="Times New Roman" w:hAnsi="Times New Roman" w:cs="Times New Roman"/>
          <w:sz w:val="24"/>
          <w:szCs w:val="24"/>
        </w:rPr>
        <w:t>In conclusion, further APEC cooperation on the facilitation of LNG trade should be pursued with the ultimate goal of providing secure and affordable LNG in a manner that is mutually beneficial to all parties.</w:t>
      </w:r>
    </w:p>
    <w:p w:rsidR="00C26E26" w:rsidRDefault="00C26E26" w:rsidP="005B57F2">
      <w:pPr>
        <w:rPr>
          <w:rFonts w:ascii="Times New Roman" w:hAnsi="Times New Roman" w:cs="Times New Roman"/>
          <w:sz w:val="24"/>
          <w:szCs w:val="24"/>
          <w:lang w:eastAsia="zh-TW"/>
        </w:rPr>
      </w:pPr>
    </w:p>
    <w:p w:rsidR="00C26E26" w:rsidRDefault="00C26E26">
      <w:pPr>
        <w:rPr>
          <w:rFonts w:ascii="Times New Roman" w:hAnsi="Times New Roman" w:cs="Times New Roman"/>
          <w:sz w:val="24"/>
          <w:szCs w:val="24"/>
          <w:lang w:eastAsia="zh-TW"/>
        </w:rPr>
      </w:pPr>
      <w:bookmarkStart w:id="0" w:name="_GoBack"/>
      <w:bookmarkEnd w:id="0"/>
    </w:p>
    <w:sectPr w:rsidR="00C26E2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24A" w:rsidRDefault="0075024A" w:rsidP="003D7197">
      <w:pPr>
        <w:spacing w:after="0" w:line="240" w:lineRule="auto"/>
      </w:pPr>
      <w:r>
        <w:separator/>
      </w:r>
    </w:p>
  </w:endnote>
  <w:endnote w:type="continuationSeparator" w:id="0">
    <w:p w:rsidR="0075024A" w:rsidRDefault="0075024A" w:rsidP="003D7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F38" w:rsidRDefault="006F6A97">
    <w:pPr>
      <w:pStyle w:val="a6"/>
      <w:jc w:val="center"/>
    </w:pPr>
    <w:sdt>
      <w:sdtPr>
        <w:id w:val="-1398360207"/>
        <w:docPartObj>
          <w:docPartGallery w:val="Page Numbers (Bottom of Page)"/>
          <w:docPartUnique/>
        </w:docPartObj>
      </w:sdtPr>
      <w:sdtEndPr/>
      <w:sdtContent>
        <w:r w:rsidR="003B2F38">
          <w:fldChar w:fldCharType="begin"/>
        </w:r>
        <w:r w:rsidR="003B2F38">
          <w:instrText>PAGE   \* MERGEFORMAT</w:instrText>
        </w:r>
        <w:r w:rsidR="003B2F38">
          <w:fldChar w:fldCharType="separate"/>
        </w:r>
        <w:r w:rsidR="003B2F38" w:rsidRPr="003B2F38">
          <w:rPr>
            <w:noProof/>
            <w:lang w:val="zh-TW" w:eastAsia="zh-TW"/>
          </w:rPr>
          <w:t>1</w:t>
        </w:r>
        <w:r w:rsidR="003B2F38">
          <w:fldChar w:fldCharType="end"/>
        </w:r>
      </w:sdtContent>
    </w:sdt>
  </w:p>
  <w:p w:rsidR="003B2F38" w:rsidRDefault="003B2F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24A" w:rsidRDefault="0075024A" w:rsidP="003D7197">
      <w:pPr>
        <w:spacing w:after="0" w:line="240" w:lineRule="auto"/>
      </w:pPr>
      <w:r>
        <w:separator/>
      </w:r>
    </w:p>
  </w:footnote>
  <w:footnote w:type="continuationSeparator" w:id="0">
    <w:p w:rsidR="0075024A" w:rsidRDefault="0075024A" w:rsidP="003D71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450048"/>
    <w:multiLevelType w:val="hybridMultilevel"/>
    <w:tmpl w:val="F8BCD5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A57"/>
    <w:rsid w:val="000762D0"/>
    <w:rsid w:val="000B53E9"/>
    <w:rsid w:val="000D02C2"/>
    <w:rsid w:val="000E7443"/>
    <w:rsid w:val="001A5A17"/>
    <w:rsid w:val="001C5053"/>
    <w:rsid w:val="001D7C36"/>
    <w:rsid w:val="00236E7F"/>
    <w:rsid w:val="00341E94"/>
    <w:rsid w:val="003B2F38"/>
    <w:rsid w:val="003D7197"/>
    <w:rsid w:val="0047191D"/>
    <w:rsid w:val="00486749"/>
    <w:rsid w:val="00493DC4"/>
    <w:rsid w:val="005B57F2"/>
    <w:rsid w:val="006479B4"/>
    <w:rsid w:val="006F6A97"/>
    <w:rsid w:val="0075024A"/>
    <w:rsid w:val="007A5777"/>
    <w:rsid w:val="00915D6D"/>
    <w:rsid w:val="00921A57"/>
    <w:rsid w:val="00964E37"/>
    <w:rsid w:val="00B02D44"/>
    <w:rsid w:val="00C26E26"/>
    <w:rsid w:val="00C517F8"/>
    <w:rsid w:val="00D6006D"/>
    <w:rsid w:val="00E52E81"/>
    <w:rsid w:val="00ED62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CFD2C7"/>
  <w15:docId w15:val="{0D9CED4F-12BB-4FD3-8612-CCE946D3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57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7C36"/>
    <w:pPr>
      <w:ind w:left="720"/>
      <w:contextualSpacing/>
    </w:pPr>
  </w:style>
  <w:style w:type="paragraph" w:customStyle="1" w:styleId="1-">
    <w:name w:val="1.-五所"/>
    <w:basedOn w:val="a"/>
    <w:link w:val="1-0"/>
    <w:rsid w:val="00C517F8"/>
    <w:pPr>
      <w:widowControl w:val="0"/>
      <w:snapToGrid w:val="0"/>
      <w:spacing w:beforeLines="50" w:before="50" w:afterLines="50" w:after="50" w:line="480" w:lineRule="atLeast"/>
      <w:ind w:leftChars="199" w:left="274" w:hangingChars="75" w:hanging="75"/>
      <w:jc w:val="both"/>
    </w:pPr>
    <w:rPr>
      <w:rFonts w:ascii="Times New Roman" w:eastAsia="標楷體" w:hAnsi="Times New Roman" w:cs="Times New Roman"/>
      <w:kern w:val="2"/>
      <w:sz w:val="28"/>
      <w:szCs w:val="20"/>
      <w:lang w:eastAsia="zh-TW"/>
    </w:rPr>
  </w:style>
  <w:style w:type="paragraph" w:customStyle="1" w:styleId="1-1">
    <w:name w:val="內文1-五所"/>
    <w:basedOn w:val="a"/>
    <w:link w:val="1-2"/>
    <w:rsid w:val="00C517F8"/>
    <w:pPr>
      <w:widowControl w:val="0"/>
      <w:snapToGrid w:val="0"/>
      <w:spacing w:beforeLines="50" w:before="50" w:afterLines="50" w:after="50" w:line="480" w:lineRule="atLeast"/>
      <w:ind w:left="185" w:firstLineChars="200" w:firstLine="200"/>
      <w:jc w:val="both"/>
    </w:pPr>
    <w:rPr>
      <w:rFonts w:ascii="Times New Roman" w:eastAsia="標楷體" w:hAnsi="Times New Roman" w:cs="Times New Roman"/>
      <w:kern w:val="2"/>
      <w:sz w:val="28"/>
      <w:szCs w:val="20"/>
      <w:lang w:eastAsia="zh-TW"/>
    </w:rPr>
  </w:style>
  <w:style w:type="character" w:customStyle="1" w:styleId="1-2">
    <w:name w:val="內文1-五所 字元"/>
    <w:link w:val="1-1"/>
    <w:rsid w:val="00C517F8"/>
    <w:rPr>
      <w:rFonts w:ascii="Times New Roman" w:eastAsia="標楷體" w:hAnsi="Times New Roman" w:cs="Times New Roman"/>
      <w:kern w:val="2"/>
      <w:sz w:val="28"/>
      <w:szCs w:val="20"/>
      <w:lang w:eastAsia="zh-TW"/>
    </w:rPr>
  </w:style>
  <w:style w:type="character" w:customStyle="1" w:styleId="1-0">
    <w:name w:val="1.-五所 字元"/>
    <w:link w:val="1-"/>
    <w:rsid w:val="00C517F8"/>
    <w:rPr>
      <w:rFonts w:ascii="Times New Roman" w:eastAsia="標楷體" w:hAnsi="Times New Roman" w:cs="Times New Roman"/>
      <w:kern w:val="2"/>
      <w:sz w:val="28"/>
      <w:szCs w:val="20"/>
      <w:lang w:eastAsia="zh-TW"/>
    </w:rPr>
  </w:style>
  <w:style w:type="paragraph" w:styleId="a4">
    <w:name w:val="header"/>
    <w:basedOn w:val="a"/>
    <w:link w:val="a5"/>
    <w:uiPriority w:val="99"/>
    <w:unhideWhenUsed/>
    <w:rsid w:val="003D7197"/>
    <w:pPr>
      <w:tabs>
        <w:tab w:val="center" w:pos="4153"/>
        <w:tab w:val="right" w:pos="8306"/>
      </w:tabs>
      <w:snapToGrid w:val="0"/>
    </w:pPr>
    <w:rPr>
      <w:sz w:val="20"/>
      <w:szCs w:val="20"/>
    </w:rPr>
  </w:style>
  <w:style w:type="character" w:customStyle="1" w:styleId="a5">
    <w:name w:val="頁首 字元"/>
    <w:basedOn w:val="a0"/>
    <w:link w:val="a4"/>
    <w:uiPriority w:val="99"/>
    <w:rsid w:val="003D7197"/>
    <w:rPr>
      <w:sz w:val="20"/>
      <w:szCs w:val="20"/>
    </w:rPr>
  </w:style>
  <w:style w:type="paragraph" w:styleId="a6">
    <w:name w:val="footer"/>
    <w:basedOn w:val="a"/>
    <w:link w:val="a7"/>
    <w:uiPriority w:val="99"/>
    <w:unhideWhenUsed/>
    <w:rsid w:val="003D7197"/>
    <w:pPr>
      <w:tabs>
        <w:tab w:val="center" w:pos="4153"/>
        <w:tab w:val="right" w:pos="8306"/>
      </w:tabs>
      <w:snapToGrid w:val="0"/>
    </w:pPr>
    <w:rPr>
      <w:sz w:val="20"/>
      <w:szCs w:val="20"/>
    </w:rPr>
  </w:style>
  <w:style w:type="character" w:customStyle="1" w:styleId="a7">
    <w:name w:val="頁尾 字元"/>
    <w:basedOn w:val="a0"/>
    <w:link w:val="a6"/>
    <w:uiPriority w:val="99"/>
    <w:rsid w:val="003D719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毛嘉瑜</cp:lastModifiedBy>
  <cp:revision>12</cp:revision>
  <dcterms:created xsi:type="dcterms:W3CDTF">2015-07-20T20:20:00Z</dcterms:created>
  <dcterms:modified xsi:type="dcterms:W3CDTF">2018-11-28T02:28:00Z</dcterms:modified>
</cp:coreProperties>
</file>