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794" w:rsidRPr="00F10A45" w:rsidRDefault="00CF4DD7" w:rsidP="00F10A45">
      <w:pPr>
        <w:snapToGrid w:val="0"/>
        <w:jc w:val="center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  <w:t xml:space="preserve">Policy </w:t>
      </w:r>
      <w:r w:rsidR="00F841FA"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  <w:t xml:space="preserve">recommendations derived </w:t>
      </w:r>
      <w:r w:rsidR="007E5794" w:rsidRPr="00F10A45"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  <w:t>from the</w:t>
      </w:r>
    </w:p>
    <w:p w:rsidR="00F10A45" w:rsidRDefault="00F10A45" w:rsidP="00F10A45">
      <w:pPr>
        <w:snapToGrid w:val="0"/>
        <w:jc w:val="center"/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</w:pPr>
      <w:r w:rsidRPr="00F10A45"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  <w:t xml:space="preserve">Workshop on the Path to Inclusive Energy Transition </w:t>
      </w:r>
    </w:p>
    <w:p w:rsidR="00F10A45" w:rsidRPr="00F10A45" w:rsidRDefault="00F10A45" w:rsidP="00F10A45">
      <w:pPr>
        <w:snapToGrid w:val="0"/>
        <w:jc w:val="center"/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</w:pPr>
      <w:r w:rsidRPr="00F10A45"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  <w:t xml:space="preserve">in the APEC Region: </w:t>
      </w:r>
    </w:p>
    <w:p w:rsidR="007E5794" w:rsidRPr="00F10A45" w:rsidRDefault="00F10A45" w:rsidP="00F10A45">
      <w:pPr>
        <w:snapToGrid w:val="0"/>
        <w:jc w:val="center"/>
        <w:rPr>
          <w:rFonts w:ascii="微軟正黑體" w:eastAsia="微軟正黑體" w:hAnsi="微軟正黑體" w:cs="Times New Roman"/>
        </w:rPr>
      </w:pPr>
      <w:r w:rsidRPr="00F10A45"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  <w:t>how to enhance women</w:t>
      </w:r>
      <w:r w:rsidR="00F55D8F" w:rsidRPr="00F55D8F"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  <w:t>'</w:t>
      </w:r>
      <w:bookmarkStart w:id="0" w:name="_GoBack"/>
      <w:bookmarkEnd w:id="0"/>
      <w:r w:rsidRPr="00F10A45"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  <w:t>s empowerment in energy field</w:t>
      </w:r>
    </w:p>
    <w:p w:rsidR="007E5794" w:rsidRPr="00F10A45" w:rsidRDefault="00F10A45" w:rsidP="00F10A45">
      <w:pPr>
        <w:snapToGrid w:val="0"/>
        <w:jc w:val="center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  <w:t>5-6 August</w:t>
      </w:r>
      <w:r w:rsidR="00EA5F1B" w:rsidRPr="00F10A45">
        <w:rPr>
          <w:rFonts w:ascii="微軟正黑體" w:eastAsia="微軟正黑體" w:hAnsi="微軟正黑體" w:cs="Times New Roman" w:hint="eastAsia"/>
          <w:b/>
          <w:bCs/>
          <w:color w:val="000000"/>
          <w:sz w:val="28"/>
          <w:szCs w:val="28"/>
        </w:rPr>
        <w:t xml:space="preserve">, </w:t>
      </w:r>
      <w:r w:rsidR="007E5794" w:rsidRPr="00F10A45"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  <w:t>201</w:t>
      </w:r>
      <w:r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  <w:t>9</w:t>
      </w:r>
      <w:r w:rsidR="007E5794" w:rsidRPr="00F10A45"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  <w:t>, Taipei</w:t>
      </w:r>
    </w:p>
    <w:p w:rsidR="0016167D" w:rsidRDefault="0016167D" w:rsidP="00F10A45">
      <w:pPr>
        <w:snapToGrid w:val="0"/>
        <w:rPr>
          <w:rFonts w:ascii="微軟正黑體" w:eastAsia="微軟正黑體" w:hAnsi="微軟正黑體" w:cs="Times New Roman"/>
        </w:rPr>
      </w:pPr>
    </w:p>
    <w:p w:rsidR="00893211" w:rsidRDefault="00AF3AC3" w:rsidP="00CB43E3">
      <w:pPr>
        <w:snapToGrid w:val="0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 xml:space="preserve">Gender </w:t>
      </w:r>
      <w:r w:rsidR="0046616E">
        <w:rPr>
          <w:rFonts w:ascii="微軟正黑體" w:eastAsia="微軟正黑體" w:hAnsi="微軟正黑體" w:cs="Times New Roman"/>
        </w:rPr>
        <w:t>disparities</w:t>
      </w:r>
      <w:r w:rsidR="00093DEC">
        <w:rPr>
          <w:rFonts w:ascii="微軟正黑體" w:eastAsia="微軟正黑體" w:hAnsi="微軟正黑體" w:cs="Times New Roman" w:hint="eastAsia"/>
        </w:rPr>
        <w:t xml:space="preserve"> in </w:t>
      </w:r>
      <w:r w:rsidR="008403E0">
        <w:rPr>
          <w:rFonts w:ascii="微軟正黑體" w:eastAsia="微軟正黑體" w:hAnsi="微軟正黑體" w:cs="Times New Roman"/>
        </w:rPr>
        <w:t xml:space="preserve">the </w:t>
      </w:r>
      <w:r w:rsidR="00093DEC">
        <w:rPr>
          <w:rFonts w:ascii="微軟正黑體" w:eastAsia="微軟正黑體" w:hAnsi="微軟正黑體" w:cs="Times New Roman" w:hint="eastAsia"/>
        </w:rPr>
        <w:t xml:space="preserve">energy sector </w:t>
      </w:r>
      <w:r w:rsidR="008403E0">
        <w:rPr>
          <w:rFonts w:ascii="微軟正黑體" w:eastAsia="微軟正黑體" w:hAnsi="微軟正黑體" w:cs="Times New Roman"/>
        </w:rPr>
        <w:t xml:space="preserve">are </w:t>
      </w:r>
      <w:r w:rsidR="00C7481D">
        <w:rPr>
          <w:rFonts w:ascii="微軟正黑體" w:eastAsia="微軟正黑體" w:hAnsi="微軟正黑體" w:cs="Times New Roman"/>
        </w:rPr>
        <w:t>commonly</w:t>
      </w:r>
      <w:r w:rsidR="00E674D1">
        <w:rPr>
          <w:rFonts w:ascii="微軟正黑體" w:eastAsia="微軟正黑體" w:hAnsi="微軟正黑體" w:cs="Times New Roman"/>
        </w:rPr>
        <w:t xml:space="preserve"> </w:t>
      </w:r>
      <w:r w:rsidR="009E3A4A">
        <w:rPr>
          <w:rFonts w:ascii="微軟正黑體" w:eastAsia="微軟正黑體" w:hAnsi="微軟正黑體" w:cs="Times New Roman"/>
        </w:rPr>
        <w:t xml:space="preserve">shared across the APEC region, whilst </w:t>
      </w:r>
      <w:r w:rsidR="008403E0">
        <w:rPr>
          <w:rFonts w:ascii="微軟正黑體" w:eastAsia="微軟正黑體" w:hAnsi="微軟正黑體" w:cs="Times New Roman"/>
        </w:rPr>
        <w:t xml:space="preserve">the </w:t>
      </w:r>
      <w:r w:rsidR="001967F3" w:rsidRPr="001967F3">
        <w:rPr>
          <w:rFonts w:ascii="微軟正黑體" w:eastAsia="微軟正黑體" w:hAnsi="微軟正黑體" w:cs="Times New Roman"/>
        </w:rPr>
        <w:t xml:space="preserve">ongoing </w:t>
      </w:r>
      <w:r w:rsidR="001967F3">
        <w:rPr>
          <w:rFonts w:ascii="微軟正黑體" w:eastAsia="微軟正黑體" w:hAnsi="微軟正黑體" w:cs="Times New Roman"/>
        </w:rPr>
        <w:t>regional</w:t>
      </w:r>
      <w:r w:rsidR="001967F3" w:rsidRPr="001967F3">
        <w:rPr>
          <w:rFonts w:ascii="微軟正黑體" w:eastAsia="微軟正黑體" w:hAnsi="微軟正黑體" w:cs="Times New Roman"/>
        </w:rPr>
        <w:t xml:space="preserve"> ene</w:t>
      </w:r>
      <w:r w:rsidR="006965FD">
        <w:rPr>
          <w:rFonts w:ascii="微軟正黑體" w:eastAsia="微軟正黑體" w:hAnsi="微軟正黑體" w:cs="Times New Roman"/>
        </w:rPr>
        <w:t xml:space="preserve">rgy transition offers </w:t>
      </w:r>
      <w:r w:rsidR="006C4045">
        <w:rPr>
          <w:rFonts w:ascii="微軟正黑體" w:eastAsia="微軟正黑體" w:hAnsi="微軟正黑體" w:cs="Times New Roman"/>
        </w:rPr>
        <w:t xml:space="preserve">new </w:t>
      </w:r>
      <w:r w:rsidR="006965FD">
        <w:rPr>
          <w:rFonts w:ascii="微軟正黑體" w:eastAsia="微軟正黑體" w:hAnsi="微軟正黑體" w:cs="Times New Roman"/>
        </w:rPr>
        <w:t xml:space="preserve">opportunities and potential </w:t>
      </w:r>
      <w:r w:rsidR="001E03AB">
        <w:rPr>
          <w:rFonts w:ascii="微軟正黑體" w:eastAsia="微軟正黑體" w:hAnsi="微軟正黑體" w:cs="Times New Roman"/>
        </w:rPr>
        <w:t>to</w:t>
      </w:r>
      <w:r w:rsidR="006C4045">
        <w:rPr>
          <w:rFonts w:ascii="微軟正黑體" w:eastAsia="微軟正黑體" w:hAnsi="微軟正黑體" w:cs="Times New Roman"/>
        </w:rPr>
        <w:t xml:space="preserve"> </w:t>
      </w:r>
      <w:r w:rsidR="001E03AB">
        <w:rPr>
          <w:rFonts w:ascii="微軟正黑體" w:eastAsia="微軟正黑體" w:hAnsi="微軟正黑體" w:cs="Times New Roman"/>
        </w:rPr>
        <w:t xml:space="preserve">engage women </w:t>
      </w:r>
      <w:r w:rsidR="0017145C">
        <w:rPr>
          <w:rFonts w:ascii="微軟正黑體" w:eastAsia="微軟正黑體" w:hAnsi="微軟正黑體" w:cs="Times New Roman"/>
        </w:rPr>
        <w:t xml:space="preserve">in </w:t>
      </w:r>
      <w:r w:rsidR="000C5867">
        <w:rPr>
          <w:rFonts w:ascii="微軟正黑體" w:eastAsia="微軟正黑體" w:hAnsi="微軟正黑體" w:cs="Times New Roman"/>
        </w:rPr>
        <w:t>it</w:t>
      </w:r>
      <w:r w:rsidR="0017145C">
        <w:rPr>
          <w:rFonts w:ascii="微軟正黑體" w:eastAsia="微軟正黑體" w:hAnsi="微軟正黑體" w:cs="Times New Roman"/>
        </w:rPr>
        <w:t xml:space="preserve">. </w:t>
      </w:r>
      <w:r w:rsidR="00893211">
        <w:rPr>
          <w:rFonts w:ascii="微軟正黑體" w:eastAsia="微軟正黑體" w:hAnsi="微軟正黑體" w:cs="Times New Roman"/>
        </w:rPr>
        <w:t xml:space="preserve">Meanwhile, as </w:t>
      </w:r>
      <w:r w:rsidR="00C1409C">
        <w:rPr>
          <w:rFonts w:ascii="微軟正黑體" w:eastAsia="微軟正黑體" w:hAnsi="微軟正黑體" w:cs="Times New Roman"/>
        </w:rPr>
        <w:t xml:space="preserve">poverty, </w:t>
      </w:r>
      <w:r w:rsidR="00893211">
        <w:rPr>
          <w:rFonts w:ascii="微軟正黑體" w:eastAsia="微軟正黑體" w:hAnsi="微軟正黑體" w:cs="Times New Roman"/>
        </w:rPr>
        <w:t xml:space="preserve">energy access and gender equality are </w:t>
      </w:r>
      <w:r w:rsidR="00893211">
        <w:rPr>
          <w:rFonts w:ascii="Arial" w:hAnsi="Arial" w:cs="Arial"/>
          <w:color w:val="4A4A4A"/>
          <w:sz w:val="26"/>
          <w:szCs w:val="26"/>
          <w:shd w:val="clear" w:color="auto" w:fill="FFFFFF"/>
        </w:rPr>
        <w:t>inextricably linked</w:t>
      </w:r>
      <w:r w:rsidR="00437DA2">
        <w:rPr>
          <w:rFonts w:ascii="微軟正黑體" w:eastAsia="微軟正黑體" w:hAnsi="微軟正黑體" w:cs="Times New Roman"/>
        </w:rPr>
        <w:t>, addressing them together c</w:t>
      </w:r>
      <w:r w:rsidR="00437DA2">
        <w:rPr>
          <w:rFonts w:ascii="微軟正黑體" w:eastAsia="微軟正黑體" w:hAnsi="微軟正黑體" w:cs="Times New Roman" w:hint="eastAsia"/>
        </w:rPr>
        <w:t>ould</w:t>
      </w:r>
      <w:r w:rsidR="00437DA2">
        <w:rPr>
          <w:rFonts w:ascii="微軟正黑體" w:eastAsia="微軟正黑體" w:hAnsi="微軟正黑體" w:cs="Times New Roman"/>
        </w:rPr>
        <w:t xml:space="preserve"> </w:t>
      </w:r>
      <w:r w:rsidR="00437DA2">
        <w:rPr>
          <w:rFonts w:ascii="微軟正黑體" w:eastAsia="微軟正黑體" w:hAnsi="微軟正黑體" w:cs="Times New Roman" w:hint="eastAsia"/>
        </w:rPr>
        <w:t>achieve</w:t>
      </w:r>
      <w:r w:rsidR="00893211">
        <w:rPr>
          <w:rFonts w:ascii="微軟正黑體" w:eastAsia="微軟正黑體" w:hAnsi="微軟正黑體" w:cs="Times New Roman"/>
        </w:rPr>
        <w:t xml:space="preserve"> multiple gains in social and economic development. </w:t>
      </w:r>
    </w:p>
    <w:p w:rsidR="00893211" w:rsidRDefault="00893211" w:rsidP="00CB43E3">
      <w:pPr>
        <w:snapToGrid w:val="0"/>
        <w:jc w:val="both"/>
        <w:rPr>
          <w:rFonts w:ascii="微軟正黑體" w:eastAsia="微軟正黑體" w:hAnsi="微軟正黑體" w:cs="Times New Roman"/>
        </w:rPr>
      </w:pPr>
    </w:p>
    <w:p w:rsidR="00DB18F0" w:rsidRDefault="004A7C86" w:rsidP="00CB43E3">
      <w:pPr>
        <w:snapToGrid w:val="0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/>
        </w:rPr>
        <w:t xml:space="preserve">Recognizing </w:t>
      </w:r>
      <w:r w:rsidR="008403E0">
        <w:rPr>
          <w:rFonts w:ascii="微軟正黑體" w:eastAsia="微軟正黑體" w:hAnsi="微軟正黑體" w:cs="Times New Roman"/>
        </w:rPr>
        <w:t xml:space="preserve">that </w:t>
      </w:r>
      <w:r>
        <w:rPr>
          <w:rFonts w:ascii="微軟正黑體" w:eastAsia="微軟正黑體" w:hAnsi="微軟正黑體" w:cs="Times New Roman"/>
        </w:rPr>
        <w:t xml:space="preserve">energy issue </w:t>
      </w:r>
      <w:r w:rsidR="008403E0">
        <w:rPr>
          <w:rFonts w:ascii="微軟正黑體" w:eastAsia="微軟正黑體" w:hAnsi="微軟正黑體" w:cs="Times New Roman"/>
        </w:rPr>
        <w:t xml:space="preserve">are </w:t>
      </w:r>
      <w:r>
        <w:rPr>
          <w:rFonts w:ascii="微軟正黑體" w:eastAsia="微軟正黑體" w:hAnsi="微軟正黑體" w:cs="Times New Roman"/>
        </w:rPr>
        <w:t>NOT gender-neutral</w:t>
      </w:r>
      <w:r>
        <w:rPr>
          <w:rFonts w:ascii="微軟正黑體" w:eastAsia="微軟正黑體" w:hAnsi="微軟正黑體" w:cs="Times New Roman" w:hint="eastAsia"/>
        </w:rPr>
        <w:t>, t</w:t>
      </w:r>
      <w:r w:rsidR="00053AC5">
        <w:rPr>
          <w:rFonts w:ascii="微軟正黑體" w:eastAsia="微軟正黑體" w:hAnsi="微軟正黑體" w:cs="Times New Roman"/>
        </w:rPr>
        <w:t xml:space="preserve">his workshop, in support of two of the Priorities for </w:t>
      </w:r>
      <w:r w:rsidR="00053AC5">
        <w:rPr>
          <w:rFonts w:ascii="微軟正黑體" w:eastAsia="微軟正黑體" w:hAnsi="微軟正黑體" w:cs="Times New Roman" w:hint="eastAsia"/>
        </w:rPr>
        <w:t>APEC 2019</w:t>
      </w:r>
      <w:r w:rsidR="0089074A">
        <w:rPr>
          <w:rFonts w:ascii="微軟正黑體" w:eastAsia="微軟正黑體" w:hAnsi="微軟正黑體" w:cs="Times New Roman"/>
        </w:rPr>
        <w:t>-</w:t>
      </w:r>
      <w:r w:rsidR="008403E0">
        <w:rPr>
          <w:rFonts w:ascii="微軟正黑體" w:eastAsia="微軟正黑體" w:hAnsi="微軟正黑體" w:cs="Times New Roman"/>
        </w:rPr>
        <w:t xml:space="preserve">, </w:t>
      </w:r>
      <w:r w:rsidR="008403E0" w:rsidRPr="009F23CE">
        <w:rPr>
          <w:rFonts w:ascii="微軟正黑體" w:eastAsia="微軟正黑體" w:hAnsi="微軟正黑體" w:cs="Times New Roman"/>
          <w:i/>
          <w:iCs/>
        </w:rPr>
        <w:t>1)</w:t>
      </w:r>
      <w:r w:rsidR="008403E0">
        <w:rPr>
          <w:rFonts w:ascii="微軟正黑體" w:eastAsia="微軟正黑體" w:hAnsi="微軟正黑體" w:cs="Times New Roman"/>
          <w:i/>
          <w:iCs/>
        </w:rPr>
        <w:t xml:space="preserve"> </w:t>
      </w:r>
      <w:r w:rsidR="00053AC5" w:rsidRPr="004555D3">
        <w:rPr>
          <w:rFonts w:ascii="微軟正黑體" w:eastAsia="微軟正黑體" w:hAnsi="微軟正黑體" w:cs="Times New Roman"/>
          <w:b/>
          <w:i/>
        </w:rPr>
        <w:t>Women, SMEs, and Inclusive Growth</w:t>
      </w:r>
      <w:r w:rsidR="00053AC5" w:rsidRPr="00DD1516">
        <w:rPr>
          <w:rFonts w:ascii="微軟正黑體" w:eastAsia="微軟正黑體" w:hAnsi="微軟正黑體" w:cs="Times New Roman"/>
          <w:b/>
        </w:rPr>
        <w:t xml:space="preserve"> </w:t>
      </w:r>
      <w:r w:rsidR="00053AC5" w:rsidRPr="00DD1516">
        <w:rPr>
          <w:rFonts w:ascii="微軟正黑體" w:eastAsia="微軟正黑體" w:hAnsi="微軟正黑體" w:cs="Times New Roman"/>
        </w:rPr>
        <w:t>and</w:t>
      </w:r>
      <w:r w:rsidR="00053AC5">
        <w:rPr>
          <w:rFonts w:ascii="微軟正黑體" w:eastAsia="微軟正黑體" w:hAnsi="微軟正黑體" w:cs="Times New Roman"/>
          <w:b/>
        </w:rPr>
        <w:t xml:space="preserve"> </w:t>
      </w:r>
      <w:r w:rsidR="008403E0" w:rsidRPr="009F23CE">
        <w:rPr>
          <w:rFonts w:ascii="微軟正黑體" w:eastAsia="微軟正黑體" w:hAnsi="微軟正黑體" w:cs="Times New Roman"/>
          <w:b/>
          <w:i/>
          <w:iCs/>
        </w:rPr>
        <w:t>2)</w:t>
      </w:r>
      <w:r w:rsidR="008403E0">
        <w:rPr>
          <w:rFonts w:ascii="微軟正黑體" w:eastAsia="微軟正黑體" w:hAnsi="微軟正黑體" w:cs="Times New Roman"/>
          <w:b/>
          <w:i/>
          <w:iCs/>
        </w:rPr>
        <w:t xml:space="preserve"> </w:t>
      </w:r>
      <w:r w:rsidR="00053AC5" w:rsidRPr="004555D3">
        <w:rPr>
          <w:rFonts w:ascii="微軟正黑體" w:eastAsia="微軟正黑體" w:hAnsi="微軟正黑體" w:cs="Times New Roman"/>
          <w:b/>
          <w:i/>
        </w:rPr>
        <w:t>Sustainable Growth</w:t>
      </w:r>
      <w:r w:rsidR="0089074A">
        <w:rPr>
          <w:rFonts w:ascii="微軟正黑體" w:eastAsia="微軟正黑體" w:hAnsi="微軟正黑體" w:cs="Times New Roman"/>
        </w:rPr>
        <w:t xml:space="preserve">, </w:t>
      </w:r>
      <w:r w:rsidR="000559BB">
        <w:rPr>
          <w:rFonts w:ascii="微軟正黑體" w:eastAsia="微軟正黑體" w:hAnsi="微軟正黑體" w:cs="Times New Roman"/>
        </w:rPr>
        <w:t>provide</w:t>
      </w:r>
      <w:r w:rsidR="004565F6">
        <w:rPr>
          <w:rFonts w:ascii="微軟正黑體" w:eastAsia="微軟正黑體" w:hAnsi="微軟正黑體" w:cs="Times New Roman"/>
        </w:rPr>
        <w:t>s</w:t>
      </w:r>
      <w:r w:rsidR="000559BB">
        <w:rPr>
          <w:rFonts w:ascii="微軟正黑體" w:eastAsia="微軟正黑體" w:hAnsi="微軟正黑體" w:cs="Times New Roman"/>
        </w:rPr>
        <w:t xml:space="preserve"> </w:t>
      </w:r>
      <w:r w:rsidR="002D39E5">
        <w:rPr>
          <w:rFonts w:ascii="微軟正黑體" w:eastAsia="微軟正黑體" w:hAnsi="微軟正黑體" w:cs="Times New Roman"/>
        </w:rPr>
        <w:t>recommendations</w:t>
      </w:r>
      <w:r w:rsidR="00D92CC4">
        <w:rPr>
          <w:rFonts w:ascii="微軟正黑體" w:eastAsia="微軟正黑體" w:hAnsi="微軟正黑體" w:cs="Times New Roman"/>
        </w:rPr>
        <w:t xml:space="preserve"> </w:t>
      </w:r>
      <w:r w:rsidR="00A80EC4">
        <w:rPr>
          <w:rFonts w:ascii="微軟正黑體" w:eastAsia="微軟正黑體" w:hAnsi="微軟正黑體" w:cs="Times New Roman"/>
        </w:rPr>
        <w:t xml:space="preserve">for creating an </w:t>
      </w:r>
      <w:r w:rsidR="00A80EC4">
        <w:rPr>
          <w:rFonts w:ascii="微軟正黑體" w:eastAsia="微軟正黑體" w:hAnsi="微軟正黑體" w:cs="Times New Roman" w:hint="eastAsia"/>
        </w:rPr>
        <w:t>enabling policy environment for</w:t>
      </w:r>
      <w:r w:rsidR="00F651AC">
        <w:rPr>
          <w:rFonts w:ascii="微軟正黑體" w:eastAsia="微軟正黑體" w:hAnsi="微軟正黑體" w:cs="Times New Roman"/>
        </w:rPr>
        <w:t xml:space="preserve"> </w:t>
      </w:r>
      <w:r w:rsidR="008403E0">
        <w:rPr>
          <w:rFonts w:ascii="微軟正黑體" w:eastAsia="微軟正黑體" w:hAnsi="微軟正黑體" w:cs="Times New Roman"/>
        </w:rPr>
        <w:t>women's</w:t>
      </w:r>
      <w:r w:rsidR="00D631A9">
        <w:rPr>
          <w:rFonts w:ascii="微軟正黑體" w:eastAsia="微軟正黑體" w:hAnsi="微軟正黑體" w:cs="Times New Roman"/>
        </w:rPr>
        <w:t xml:space="preserve"> </w:t>
      </w:r>
      <w:r w:rsidR="00F651AC">
        <w:rPr>
          <w:rFonts w:ascii="微軟正黑體" w:eastAsia="微軟正黑體" w:hAnsi="微軟正黑體" w:cs="Times New Roman"/>
        </w:rPr>
        <w:t xml:space="preserve">empowerment </w:t>
      </w:r>
      <w:r w:rsidR="00A80EC4">
        <w:rPr>
          <w:rFonts w:ascii="微軟正黑體" w:eastAsia="微軟正黑體" w:hAnsi="微軟正黑體" w:cs="Times New Roman"/>
        </w:rPr>
        <w:t xml:space="preserve">in </w:t>
      </w:r>
      <w:r w:rsidR="008403E0">
        <w:rPr>
          <w:rFonts w:ascii="微軟正黑體" w:eastAsia="微軟正黑體" w:hAnsi="微軟正黑體" w:cs="Times New Roman"/>
        </w:rPr>
        <w:t xml:space="preserve">the </w:t>
      </w:r>
      <w:r w:rsidR="00A80EC4">
        <w:rPr>
          <w:rFonts w:ascii="微軟正黑體" w:eastAsia="微軟正黑體" w:hAnsi="微軟正黑體" w:cs="Times New Roman"/>
        </w:rPr>
        <w:t xml:space="preserve">energy sector in the APEC region. </w:t>
      </w:r>
    </w:p>
    <w:p w:rsidR="00CB43E3" w:rsidRPr="00836FBD" w:rsidRDefault="00CB43E3" w:rsidP="00CB43E3">
      <w:pPr>
        <w:snapToGrid w:val="0"/>
        <w:jc w:val="both"/>
        <w:rPr>
          <w:rFonts w:ascii="微軟正黑體" w:eastAsia="微軟正黑體" w:hAnsi="微軟正黑體" w:cs="Times New Roman"/>
        </w:rPr>
      </w:pPr>
    </w:p>
    <w:p w:rsidR="004A7C86" w:rsidRPr="004A7C86" w:rsidRDefault="004A7C86" w:rsidP="00750544">
      <w:pPr>
        <w:pStyle w:val="a7"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 w:cs="Times New Roman"/>
          <w:u w:val="single"/>
        </w:rPr>
      </w:pPr>
      <w:r w:rsidRPr="004A7C86">
        <w:rPr>
          <w:rFonts w:ascii="微軟正黑體" w:eastAsia="微軟正黑體" w:hAnsi="微軟正黑體" w:cs="Times New Roman" w:hint="eastAsia"/>
          <w:u w:val="single"/>
        </w:rPr>
        <w:t xml:space="preserve">Apply </w:t>
      </w:r>
      <w:r w:rsidR="008403E0">
        <w:rPr>
          <w:rFonts w:ascii="微軟正黑體" w:eastAsia="微軟正黑體" w:hAnsi="微軟正黑體" w:cs="Times New Roman"/>
          <w:u w:val="single"/>
        </w:rPr>
        <w:t xml:space="preserve">a </w:t>
      </w:r>
      <w:r w:rsidRPr="004A7C86">
        <w:rPr>
          <w:rFonts w:ascii="微軟正黑體" w:eastAsia="微軟正黑體" w:hAnsi="微軟正黑體" w:cs="Times New Roman" w:hint="eastAsia"/>
          <w:u w:val="single"/>
        </w:rPr>
        <w:t xml:space="preserve">gender </w:t>
      </w:r>
      <w:r w:rsidRPr="004A7C86">
        <w:rPr>
          <w:rFonts w:ascii="微軟正黑體" w:eastAsia="微軟正黑體" w:hAnsi="微軟正黑體" w:cs="Times New Roman"/>
          <w:u w:val="single"/>
        </w:rPr>
        <w:t>approach in energy policies and programs</w:t>
      </w:r>
    </w:p>
    <w:p w:rsidR="005443E2" w:rsidRDefault="00750544" w:rsidP="00F10A45">
      <w:pPr>
        <w:snapToGrid w:val="0"/>
        <w:rPr>
          <w:rFonts w:ascii="微軟正黑體" w:eastAsia="微軟正黑體" w:hAnsi="微軟正黑體" w:cs="Times New Roman"/>
          <w:bCs/>
          <w:color w:val="000000"/>
          <w:lang w:val="en-GB"/>
        </w:rPr>
      </w:pPr>
      <w:r w:rsidRPr="00BF6314">
        <w:rPr>
          <w:rFonts w:ascii="微軟正黑體" w:eastAsia="微軟正黑體" w:hAnsi="微軟正黑體" w:cs="Times New Roman" w:hint="eastAsia"/>
        </w:rPr>
        <w:t>(</w:t>
      </w:r>
      <w:r w:rsidRPr="00BF6314">
        <w:rPr>
          <w:rFonts w:ascii="微軟正黑體" w:eastAsia="微軟正黑體" w:hAnsi="微軟正黑體" w:cs="Times New Roman"/>
        </w:rPr>
        <w:t>1</w:t>
      </w:r>
      <w:r w:rsidRPr="00BF6314">
        <w:rPr>
          <w:rFonts w:ascii="微軟正黑體" w:eastAsia="微軟正黑體" w:hAnsi="微軟正黑體" w:cs="Times New Roman" w:hint="eastAsia"/>
        </w:rPr>
        <w:t>)</w:t>
      </w:r>
      <w:r w:rsidR="00BF6314" w:rsidRPr="00BF6314">
        <w:rPr>
          <w:rFonts w:ascii="微軟正黑體" w:eastAsia="微軟正黑體" w:hAnsi="微軟正黑體" w:cs="Times New Roman"/>
          <w:bCs/>
          <w:color w:val="000000"/>
          <w:lang w:val="en-GB"/>
        </w:rPr>
        <w:t xml:space="preserve"> </w:t>
      </w:r>
      <w:r w:rsidR="007F79D6">
        <w:rPr>
          <w:rFonts w:ascii="微軟正黑體" w:eastAsia="微軟正黑體" w:hAnsi="微軟正黑體" w:cs="Times New Roman"/>
          <w:bCs/>
          <w:color w:val="000000"/>
          <w:lang w:val="en-GB"/>
        </w:rPr>
        <w:t>The collection and analysis of qu</w:t>
      </w:r>
      <w:r w:rsidR="007F79D6" w:rsidRPr="00BF6314">
        <w:rPr>
          <w:rFonts w:ascii="微軟正黑體" w:eastAsia="微軟正黑體" w:hAnsi="微軟正黑體" w:cs="Times New Roman"/>
          <w:bCs/>
          <w:color w:val="000000"/>
          <w:lang w:val="en-GB"/>
        </w:rPr>
        <w:t>antitative and qualitative data at the nexus of gender and energy</w:t>
      </w:r>
      <w:r w:rsidR="007F79D6">
        <w:rPr>
          <w:rFonts w:ascii="微軟正黑體" w:eastAsia="微軟正黑體" w:hAnsi="微軟正黑體" w:cs="Times New Roman"/>
          <w:bCs/>
          <w:color w:val="000000"/>
          <w:lang w:val="en-GB"/>
        </w:rPr>
        <w:t xml:space="preserve"> are essential t</w:t>
      </w:r>
      <w:r w:rsidR="005443E2">
        <w:rPr>
          <w:rFonts w:ascii="微軟正黑體" w:eastAsia="微軟正黑體" w:hAnsi="微軟正黑體" w:cs="Times New Roman"/>
          <w:bCs/>
          <w:color w:val="000000"/>
          <w:lang w:val="en-GB"/>
        </w:rPr>
        <w:t xml:space="preserve">o </w:t>
      </w:r>
      <w:r w:rsidR="00E201A0">
        <w:rPr>
          <w:rFonts w:ascii="微軟正黑體" w:eastAsia="微軟正黑體" w:hAnsi="微軟正黑體" w:cs="Times New Roman"/>
          <w:bCs/>
          <w:color w:val="000000"/>
          <w:lang w:val="en-GB"/>
        </w:rPr>
        <w:t xml:space="preserve">identify the gaps and barriers of </w:t>
      </w:r>
      <w:r w:rsidR="008403E0">
        <w:rPr>
          <w:rFonts w:ascii="微軟正黑體" w:eastAsia="微軟正黑體" w:hAnsi="微軟正黑體" w:cs="Times New Roman"/>
        </w:rPr>
        <w:t>women's</w:t>
      </w:r>
      <w:r w:rsidR="00E201A0" w:rsidRPr="00E201A0">
        <w:rPr>
          <w:rFonts w:ascii="微軟正黑體" w:eastAsia="微軟正黑體" w:hAnsi="微軟正黑體" w:cs="Times New Roman"/>
          <w:bCs/>
          <w:color w:val="000000"/>
          <w:lang w:val="en-GB"/>
        </w:rPr>
        <w:t xml:space="preserve"> participation in </w:t>
      </w:r>
      <w:r w:rsidR="008403E0">
        <w:rPr>
          <w:rFonts w:ascii="微軟正黑體" w:eastAsia="微軟正黑體" w:hAnsi="微軟正黑體" w:cs="Times New Roman"/>
          <w:bCs/>
          <w:color w:val="000000"/>
          <w:lang w:val="en-GB"/>
        </w:rPr>
        <w:t xml:space="preserve">the </w:t>
      </w:r>
      <w:r w:rsidR="00E201A0" w:rsidRPr="00E201A0">
        <w:rPr>
          <w:rFonts w:ascii="微軟正黑體" w:eastAsia="微軟正黑體" w:hAnsi="微軟正黑體" w:cs="Times New Roman"/>
          <w:bCs/>
          <w:color w:val="000000"/>
          <w:lang w:val="en-GB"/>
        </w:rPr>
        <w:t>energy field</w:t>
      </w:r>
      <w:r w:rsidR="00094141">
        <w:rPr>
          <w:rFonts w:ascii="微軟正黑體" w:eastAsia="微軟正黑體" w:hAnsi="微軟正黑體" w:cs="Times New Roman"/>
          <w:bCs/>
          <w:color w:val="000000"/>
          <w:lang w:val="en-GB"/>
        </w:rPr>
        <w:t>.</w:t>
      </w:r>
      <w:r w:rsidR="00C2538E">
        <w:rPr>
          <w:rFonts w:ascii="微軟正黑體" w:eastAsia="微軟正黑體" w:hAnsi="微軟正黑體" w:cs="Times New Roman"/>
          <w:bCs/>
          <w:color w:val="000000"/>
          <w:lang w:val="en-GB"/>
        </w:rPr>
        <w:t xml:space="preserve"> </w:t>
      </w:r>
    </w:p>
    <w:p w:rsidR="00941E85" w:rsidRPr="00540881" w:rsidRDefault="0046684A" w:rsidP="00F10A45">
      <w:pPr>
        <w:snapToGrid w:val="0"/>
        <w:rPr>
          <w:rFonts w:ascii="微軟正黑體" w:eastAsia="微軟正黑體" w:hAnsi="微軟正黑體" w:cs="Times New Roman"/>
          <w:bCs/>
          <w:color w:val="000000"/>
          <w:lang w:val="en-GB"/>
        </w:rPr>
      </w:pPr>
      <w:r>
        <w:rPr>
          <w:rFonts w:ascii="微軟正黑體" w:eastAsia="微軟正黑體" w:hAnsi="微軟正黑體" w:cs="Times New Roman" w:hint="eastAsia"/>
          <w:bCs/>
          <w:color w:val="000000"/>
          <w:lang w:val="en-GB"/>
        </w:rPr>
        <w:t>(</w:t>
      </w:r>
      <w:r>
        <w:rPr>
          <w:rFonts w:ascii="微軟正黑體" w:eastAsia="微軟正黑體" w:hAnsi="微軟正黑體" w:cs="Times New Roman"/>
          <w:bCs/>
          <w:color w:val="000000"/>
          <w:lang w:val="en-GB"/>
        </w:rPr>
        <w:t>2</w:t>
      </w:r>
      <w:r>
        <w:rPr>
          <w:rFonts w:ascii="微軟正黑體" w:eastAsia="微軟正黑體" w:hAnsi="微軟正黑體" w:cs="Times New Roman" w:hint="eastAsia"/>
          <w:bCs/>
          <w:color w:val="000000"/>
          <w:lang w:val="en-GB"/>
        </w:rPr>
        <w:t>)</w:t>
      </w:r>
      <w:r w:rsidR="001F1F8C">
        <w:rPr>
          <w:rFonts w:ascii="微軟正黑體" w:eastAsia="微軟正黑體" w:hAnsi="微軟正黑體" w:cs="Times New Roman"/>
          <w:bCs/>
          <w:color w:val="000000"/>
          <w:lang w:val="en-GB"/>
        </w:rPr>
        <w:t xml:space="preserve"> </w:t>
      </w:r>
      <w:r w:rsidR="000C0079">
        <w:rPr>
          <w:rFonts w:ascii="微軟正黑體" w:eastAsia="微軟正黑體" w:hAnsi="微軟正黑體" w:cs="Times New Roman"/>
          <w:bCs/>
          <w:color w:val="000000"/>
          <w:lang w:val="en-GB"/>
        </w:rPr>
        <w:t>T</w:t>
      </w:r>
      <w:r w:rsidR="00D54816">
        <w:rPr>
          <w:rFonts w:ascii="微軟正黑體" w:eastAsia="微軟正黑體" w:hAnsi="微軟正黑體" w:cs="Times New Roman"/>
          <w:bCs/>
          <w:color w:val="000000"/>
          <w:lang w:val="en-GB"/>
        </w:rPr>
        <w:t>he design, implementation</w:t>
      </w:r>
      <w:r w:rsidR="008403E0">
        <w:rPr>
          <w:rFonts w:ascii="微軟正黑體" w:eastAsia="微軟正黑體" w:hAnsi="微軟正黑體" w:cs="Times New Roman"/>
          <w:bCs/>
          <w:color w:val="000000"/>
          <w:lang w:val="en-GB"/>
        </w:rPr>
        <w:t>,</w:t>
      </w:r>
      <w:r w:rsidR="00D54816">
        <w:rPr>
          <w:rFonts w:ascii="微軟正黑體" w:eastAsia="微軟正黑體" w:hAnsi="微軟正黑體" w:cs="Times New Roman"/>
          <w:bCs/>
          <w:color w:val="000000"/>
          <w:lang w:val="en-GB"/>
        </w:rPr>
        <w:t xml:space="preserve"> monitoring &amp; evaluation of energy policies and programs are </w:t>
      </w:r>
      <w:r w:rsidR="000C0079">
        <w:rPr>
          <w:rFonts w:ascii="微軟正黑體" w:eastAsia="微軟正黑體" w:hAnsi="微軟正黑體" w:cs="Times New Roman"/>
          <w:bCs/>
          <w:color w:val="000000"/>
          <w:lang w:val="en-GB"/>
        </w:rPr>
        <w:t>encouraged to address gender differentiation</w:t>
      </w:r>
      <w:r w:rsidR="001D7EE2">
        <w:rPr>
          <w:rFonts w:ascii="微軟正黑體" w:eastAsia="微軟正黑體" w:hAnsi="微軟正黑體" w:cs="Times New Roman"/>
          <w:bCs/>
          <w:color w:val="000000"/>
          <w:lang w:val="en-GB"/>
        </w:rPr>
        <w:t xml:space="preserve"> and gendered patterns</w:t>
      </w:r>
      <w:r w:rsidR="008435FD">
        <w:rPr>
          <w:rFonts w:ascii="微軟正黑體" w:eastAsia="微軟正黑體" w:hAnsi="微軟正黑體" w:cs="Times New Roman"/>
          <w:bCs/>
          <w:color w:val="000000"/>
          <w:lang w:val="en-GB"/>
        </w:rPr>
        <w:t xml:space="preserve"> for greater effectiveness and efficiency. </w:t>
      </w:r>
    </w:p>
    <w:p w:rsidR="007E5794" w:rsidRDefault="007E5794" w:rsidP="00F10A45">
      <w:pPr>
        <w:snapToGrid w:val="0"/>
        <w:rPr>
          <w:rFonts w:ascii="微軟正黑體" w:eastAsia="微軟正黑體" w:hAnsi="微軟正黑體" w:cs="Times New Roman"/>
          <w:color w:val="4472C4"/>
        </w:rPr>
      </w:pPr>
    </w:p>
    <w:p w:rsidR="00D67863" w:rsidRDefault="008037F8" w:rsidP="00D67863">
      <w:pPr>
        <w:pStyle w:val="a7"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/>
          <w:u w:val="single"/>
        </w:rPr>
        <w:t>Strengthen capacity building</w:t>
      </w:r>
    </w:p>
    <w:p w:rsidR="00453CAF" w:rsidRDefault="00453CAF" w:rsidP="00E94665">
      <w:pPr>
        <w:pStyle w:val="a7"/>
        <w:numPr>
          <w:ilvl w:val="0"/>
          <w:numId w:val="17"/>
        </w:numPr>
        <w:snapToGrid w:val="0"/>
        <w:ind w:leftChars="0"/>
        <w:rPr>
          <w:rFonts w:ascii="微軟正黑體" w:eastAsia="微軟正黑體" w:hAnsi="微軟正黑體" w:cs="Times New Roman"/>
        </w:rPr>
      </w:pPr>
      <w:r w:rsidRPr="00453CAF">
        <w:rPr>
          <w:rFonts w:ascii="微軟正黑體" w:eastAsia="微軟正黑體" w:hAnsi="微軟正黑體" w:cs="Times New Roman"/>
        </w:rPr>
        <w:t xml:space="preserve">Sustained engagement of stakeholders </w:t>
      </w:r>
      <w:r w:rsidR="008403E0">
        <w:rPr>
          <w:rFonts w:ascii="微軟正黑體" w:eastAsia="微軟正黑體" w:hAnsi="微軟正黑體" w:cs="Times New Roman"/>
        </w:rPr>
        <w:t>is</w:t>
      </w:r>
      <w:r w:rsidR="008403E0" w:rsidRPr="00453CAF">
        <w:rPr>
          <w:rFonts w:ascii="微軟正黑體" w:eastAsia="微軟正黑體" w:hAnsi="微軟正黑體" w:cs="Times New Roman"/>
        </w:rPr>
        <w:t xml:space="preserve"> </w:t>
      </w:r>
      <w:r w:rsidRPr="00453CAF">
        <w:rPr>
          <w:rFonts w:ascii="微軟正黑體" w:eastAsia="微軟正黑體" w:hAnsi="微軟正黑體" w:cs="Times New Roman"/>
        </w:rPr>
        <w:t>necessary to develop and implement gender-</w:t>
      </w:r>
      <w:r w:rsidR="00305B2D">
        <w:rPr>
          <w:rFonts w:ascii="微軟正黑體" w:eastAsia="微軟正黑體" w:hAnsi="微軟正黑體" w:cs="Times New Roman"/>
        </w:rPr>
        <w:t>sensitive</w:t>
      </w:r>
      <w:r w:rsidRPr="00453CAF">
        <w:rPr>
          <w:rFonts w:ascii="微軟正黑體" w:eastAsia="微軟正黑體" w:hAnsi="微軟正黑體" w:cs="Times New Roman"/>
        </w:rPr>
        <w:t xml:space="preserve"> energy policies.</w:t>
      </w:r>
    </w:p>
    <w:p w:rsidR="007D1E1F" w:rsidRDefault="00357FA9" w:rsidP="00453CAF">
      <w:pPr>
        <w:pStyle w:val="a7"/>
        <w:numPr>
          <w:ilvl w:val="0"/>
          <w:numId w:val="17"/>
        </w:numPr>
        <w:snapToGrid w:val="0"/>
        <w:ind w:leftChars="0"/>
        <w:rPr>
          <w:rFonts w:ascii="微軟正黑體" w:eastAsia="微軟正黑體" w:hAnsi="微軟正黑體" w:cs="Times New Roman"/>
        </w:rPr>
      </w:pPr>
      <w:r w:rsidRPr="00357FA9">
        <w:rPr>
          <w:rFonts w:ascii="微軟正黑體" w:eastAsia="微軟正黑體" w:hAnsi="微軟正黑體" w:cs="Times New Roman"/>
        </w:rPr>
        <w:t>Tailor</w:t>
      </w:r>
      <w:r w:rsidR="00E94665">
        <w:rPr>
          <w:rFonts w:ascii="微軟正黑體" w:eastAsia="微軟正黑體" w:hAnsi="微軟正黑體" w:cs="Times New Roman"/>
        </w:rPr>
        <w:t>ed financing programs, training</w:t>
      </w:r>
      <w:r w:rsidRPr="00357FA9">
        <w:rPr>
          <w:rFonts w:ascii="微軟正黑體" w:eastAsia="微軟正黑體" w:hAnsi="微軟正黑體" w:cs="Times New Roman"/>
        </w:rPr>
        <w:t xml:space="preserve"> and mentoring, and network building are needed to support the involvement of women </w:t>
      </w:r>
      <w:r w:rsidR="00686266">
        <w:rPr>
          <w:rFonts w:ascii="微軟正黑體" w:eastAsia="微軟正黑體" w:hAnsi="微軟正黑體" w:cs="Times New Roman"/>
        </w:rPr>
        <w:t xml:space="preserve">as leaders, </w:t>
      </w:r>
      <w:r w:rsidR="00686266">
        <w:rPr>
          <w:rFonts w:ascii="微軟正黑體" w:eastAsia="微軟正黑體" w:hAnsi="微軟正黑體" w:cs="Times New Roman"/>
        </w:rPr>
        <w:lastRenderedPageBreak/>
        <w:t xml:space="preserve">entrepreneurs, employers and consumers </w:t>
      </w:r>
      <w:r w:rsidR="00C377F7">
        <w:rPr>
          <w:rFonts w:ascii="微軟正黑體" w:eastAsia="微軟正黑體" w:hAnsi="微軟正黑體" w:cs="Times New Roman"/>
        </w:rPr>
        <w:t>in energy-</w:t>
      </w:r>
      <w:r w:rsidRPr="00357FA9">
        <w:rPr>
          <w:rFonts w:ascii="微軟正黑體" w:eastAsia="微軟正黑體" w:hAnsi="微軟正黑體" w:cs="Times New Roman"/>
        </w:rPr>
        <w:t>system value chains</w:t>
      </w:r>
      <w:r w:rsidR="00C377F7">
        <w:rPr>
          <w:rFonts w:ascii="微軟正黑體" w:eastAsia="微軟正黑體" w:hAnsi="微軟正黑體" w:cs="Times New Roman"/>
        </w:rPr>
        <w:t xml:space="preserve">, </w:t>
      </w:r>
      <w:r w:rsidR="00C377F7" w:rsidRPr="00C377F7">
        <w:rPr>
          <w:rFonts w:ascii="微軟正黑體" w:eastAsia="微軟正黑體" w:hAnsi="微軟正黑體" w:cs="Times New Roman"/>
        </w:rPr>
        <w:t>in both the access and modern energy contexts</w:t>
      </w:r>
      <w:r w:rsidR="00C377F7">
        <w:rPr>
          <w:rFonts w:ascii="微軟正黑體" w:eastAsia="微軟正黑體" w:hAnsi="微軟正黑體" w:cs="Times New Roman"/>
        </w:rPr>
        <w:t xml:space="preserve">. </w:t>
      </w:r>
    </w:p>
    <w:p w:rsidR="004F7F10" w:rsidRDefault="008403E0" w:rsidP="00453CAF">
      <w:pPr>
        <w:pStyle w:val="a7"/>
        <w:numPr>
          <w:ilvl w:val="0"/>
          <w:numId w:val="17"/>
        </w:numPr>
        <w:snapToGrid w:val="0"/>
        <w:ind w:leftChars="0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/>
        </w:rPr>
        <w:t>E</w:t>
      </w:r>
      <w:r w:rsidRPr="008403E0">
        <w:rPr>
          <w:rFonts w:ascii="微軟正黑體" w:eastAsia="微軟正黑體" w:hAnsi="微軟正黑體" w:cs="Times New Roman"/>
        </w:rPr>
        <w:t>ncouraging the adoption of Renewable Energy and Energy Efficiency in the APEC market and with stronger support in promoting women participation in being trained to provide such services are important.</w:t>
      </w:r>
    </w:p>
    <w:p w:rsidR="008403E0" w:rsidRPr="009F23CE" w:rsidRDefault="008403E0" w:rsidP="009F23CE">
      <w:pPr>
        <w:snapToGrid w:val="0"/>
        <w:rPr>
          <w:rFonts w:ascii="微軟正黑體" w:eastAsia="微軟正黑體" w:hAnsi="微軟正黑體" w:cs="Times New Roman"/>
        </w:rPr>
      </w:pPr>
    </w:p>
    <w:p w:rsidR="005266FB" w:rsidRPr="00A572AA" w:rsidRDefault="004A7C86" w:rsidP="005266FB">
      <w:pPr>
        <w:pStyle w:val="a7"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 w:cs="Times New Roman"/>
          <w:u w:val="single"/>
        </w:rPr>
      </w:pPr>
      <w:r w:rsidRPr="00A572AA">
        <w:rPr>
          <w:rFonts w:ascii="微軟正黑體" w:eastAsia="微軟正黑體" w:hAnsi="微軟正黑體" w:cs="Times New Roman"/>
          <w:u w:val="single"/>
        </w:rPr>
        <w:t>Promote m</w:t>
      </w:r>
      <w:r w:rsidR="007F5C83" w:rsidRPr="00A572AA">
        <w:rPr>
          <w:rFonts w:ascii="微軟正黑體" w:eastAsia="微軟正黑體" w:hAnsi="微軟正黑體" w:cs="Times New Roman"/>
          <w:u w:val="single"/>
        </w:rPr>
        <w:t>ultilateral</w:t>
      </w:r>
      <w:r w:rsidR="005266FB" w:rsidRPr="00A572AA">
        <w:rPr>
          <w:rFonts w:ascii="微軟正黑體" w:eastAsia="微軟正黑體" w:hAnsi="微軟正黑體" w:cs="Times New Roman" w:hint="eastAsia"/>
          <w:u w:val="single"/>
        </w:rPr>
        <w:t xml:space="preserve"> cooperation </w:t>
      </w:r>
    </w:p>
    <w:p w:rsidR="00CC1DF6" w:rsidRDefault="00CC1DF6" w:rsidP="00EC5235">
      <w:pPr>
        <w:pStyle w:val="a7"/>
        <w:numPr>
          <w:ilvl w:val="0"/>
          <w:numId w:val="18"/>
        </w:numPr>
        <w:snapToGrid w:val="0"/>
        <w:ind w:leftChars="0"/>
        <w:rPr>
          <w:rFonts w:ascii="微軟正黑體" w:eastAsia="微軟正黑體" w:hAnsi="微軟正黑體" w:cs="Times New Roman"/>
        </w:rPr>
      </w:pPr>
      <w:r w:rsidRPr="00F10A45">
        <w:rPr>
          <w:rFonts w:ascii="微軟正黑體" w:eastAsia="微軟正黑體" w:hAnsi="微軟正黑體" w:cs="Times New Roman"/>
        </w:rPr>
        <w:t xml:space="preserve">Under the framework of APEC, it is encouraged to pursue cross fora cooperation with </w:t>
      </w:r>
      <w:r w:rsidR="00157741">
        <w:rPr>
          <w:rFonts w:ascii="微軟正黑體" w:eastAsia="微軟正黑體" w:hAnsi="微軟正黑體" w:cs="Times New Roman"/>
        </w:rPr>
        <w:t>relevant</w:t>
      </w:r>
      <w:r w:rsidRPr="00F10A45">
        <w:rPr>
          <w:rFonts w:ascii="微軟正黑體" w:eastAsia="微軟正黑體" w:hAnsi="微軟正黑體" w:cs="Times New Roman"/>
        </w:rPr>
        <w:t xml:space="preserve"> international organizations to enhance synergy on </w:t>
      </w:r>
      <w:r>
        <w:rPr>
          <w:rFonts w:ascii="微軟正黑體" w:eastAsia="微軟正黑體" w:hAnsi="微軟正黑體" w:cs="Times New Roman"/>
        </w:rPr>
        <w:t xml:space="preserve">gender mainstreaming in </w:t>
      </w:r>
      <w:r w:rsidR="008403E0">
        <w:rPr>
          <w:rFonts w:ascii="微軟正黑體" w:eastAsia="微軟正黑體" w:hAnsi="微軟正黑體" w:cs="Times New Roman"/>
        </w:rPr>
        <w:t xml:space="preserve">the </w:t>
      </w:r>
      <w:r>
        <w:rPr>
          <w:rFonts w:ascii="微軟正黑體" w:eastAsia="微軟正黑體" w:hAnsi="微軟正黑體" w:cs="Times New Roman"/>
        </w:rPr>
        <w:t xml:space="preserve">energy sector </w:t>
      </w:r>
      <w:r w:rsidRPr="00343709">
        <w:rPr>
          <w:rFonts w:ascii="微軟正黑體" w:eastAsia="微軟正黑體" w:hAnsi="微軟正黑體" w:cs="Times New Roman"/>
        </w:rPr>
        <w:t>among all policy bodies of APEC</w:t>
      </w:r>
      <w:r>
        <w:rPr>
          <w:rFonts w:ascii="微軟正黑體" w:eastAsia="微軟正黑體" w:hAnsi="微軟正黑體" w:cs="Times New Roman"/>
        </w:rPr>
        <w:t xml:space="preserve">. </w:t>
      </w:r>
    </w:p>
    <w:p w:rsidR="00FC564D" w:rsidRPr="00FC564D" w:rsidRDefault="00FC1FCE" w:rsidP="008B2725">
      <w:pPr>
        <w:pStyle w:val="a7"/>
        <w:numPr>
          <w:ilvl w:val="0"/>
          <w:numId w:val="18"/>
        </w:numPr>
        <w:snapToGrid w:val="0"/>
        <w:ind w:leftChars="0"/>
        <w:rPr>
          <w:rFonts w:ascii="微軟正黑體" w:eastAsia="微軟正黑體" w:hAnsi="微軟正黑體" w:cs="Times New Roman"/>
          <w:b/>
          <w:bCs/>
          <w:color w:val="000000"/>
        </w:rPr>
      </w:pPr>
      <w:r w:rsidRPr="00F10A45">
        <w:rPr>
          <w:rFonts w:ascii="微軟正黑體" w:eastAsia="微軟正黑體" w:hAnsi="微軟正黑體" w:cs="Times New Roman"/>
        </w:rPr>
        <w:t xml:space="preserve">Under the framework of </w:t>
      </w:r>
      <w:r>
        <w:rPr>
          <w:rFonts w:ascii="微軟正黑體" w:eastAsia="微軟正黑體" w:hAnsi="微軟正黑體" w:cs="Times New Roman"/>
        </w:rPr>
        <w:t>EWG,</w:t>
      </w:r>
      <w:r w:rsidRPr="004C09F1">
        <w:rPr>
          <w:rFonts w:ascii="微軟正黑體" w:eastAsia="微軟正黑體" w:hAnsi="微軟正黑體" w:cs="Times New Roman"/>
        </w:rPr>
        <w:t xml:space="preserve"> </w:t>
      </w:r>
      <w:r>
        <w:rPr>
          <w:rFonts w:ascii="微軟正黑體" w:eastAsia="微軟正黑體" w:hAnsi="微軟正黑體" w:cs="Times New Roman"/>
        </w:rPr>
        <w:t>i</w:t>
      </w:r>
      <w:r w:rsidR="004C09F1" w:rsidRPr="004C09F1">
        <w:rPr>
          <w:rFonts w:ascii="微軟正黑體" w:eastAsia="微軟正黑體" w:hAnsi="微軟正黑體" w:cs="Times New Roman"/>
        </w:rPr>
        <w:t xml:space="preserve">t is encouraged to </w:t>
      </w:r>
      <w:r>
        <w:rPr>
          <w:rFonts w:ascii="微軟正黑體" w:eastAsia="微軟正黑體" w:hAnsi="微軟正黑體" w:cs="Times New Roman"/>
        </w:rPr>
        <w:t>facilitate</w:t>
      </w:r>
      <w:r w:rsidR="004C09F1" w:rsidRPr="004C09F1">
        <w:rPr>
          <w:rFonts w:ascii="微軟正黑體" w:eastAsia="微軟正黑體" w:hAnsi="微軟正黑體" w:cs="Times New Roman"/>
        </w:rPr>
        <w:t xml:space="preserve"> </w:t>
      </w:r>
      <w:r w:rsidR="00FC564D">
        <w:rPr>
          <w:rFonts w:ascii="微軟正黑體" w:eastAsia="微軟正黑體" w:hAnsi="微軟正黑體" w:cs="Times New Roman"/>
        </w:rPr>
        <w:t xml:space="preserve">the rollout of </w:t>
      </w:r>
      <w:r w:rsidR="0060159F">
        <w:rPr>
          <w:rFonts w:ascii="微軟正黑體" w:eastAsia="微軟正黑體" w:hAnsi="微軟正黑體" w:cs="Times New Roman"/>
        </w:rPr>
        <w:t xml:space="preserve">gender-aware energy projects </w:t>
      </w:r>
      <w:r w:rsidR="00C33C2C">
        <w:rPr>
          <w:rFonts w:ascii="微軟正黑體" w:eastAsia="微軟正黑體" w:hAnsi="微軟正黑體" w:cs="Times New Roman"/>
        </w:rPr>
        <w:t xml:space="preserve">within the technical areas of its task forces/expert groups, and </w:t>
      </w:r>
      <w:r w:rsidR="006E670A">
        <w:rPr>
          <w:rFonts w:ascii="微軟正黑體" w:eastAsia="微軟正黑體" w:hAnsi="微軟正黑體" w:cs="Times New Roman"/>
        </w:rPr>
        <w:t xml:space="preserve">to accelerate the knowledge sharing of best practices. </w:t>
      </w:r>
    </w:p>
    <w:sectPr w:rsidR="00FC564D" w:rsidRPr="00FC56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617" w:rsidRDefault="00E51617" w:rsidP="004F13D4">
      <w:r>
        <w:separator/>
      </w:r>
    </w:p>
  </w:endnote>
  <w:endnote w:type="continuationSeparator" w:id="0">
    <w:p w:rsidR="00E51617" w:rsidRDefault="00E51617" w:rsidP="004F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483948"/>
      <w:docPartObj>
        <w:docPartGallery w:val="Page Numbers (Bottom of Page)"/>
        <w:docPartUnique/>
      </w:docPartObj>
    </w:sdtPr>
    <w:sdtEndPr/>
    <w:sdtContent>
      <w:p w:rsidR="004F13D4" w:rsidRDefault="004F13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DA2" w:rsidRPr="00437DA2">
          <w:rPr>
            <w:noProof/>
            <w:lang w:val="zh-TW"/>
          </w:rPr>
          <w:t>1</w:t>
        </w:r>
        <w:r>
          <w:fldChar w:fldCharType="end"/>
        </w:r>
      </w:p>
    </w:sdtContent>
  </w:sdt>
  <w:p w:rsidR="004F13D4" w:rsidRDefault="004F13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617" w:rsidRDefault="00E51617" w:rsidP="004F13D4">
      <w:r>
        <w:separator/>
      </w:r>
    </w:p>
  </w:footnote>
  <w:footnote w:type="continuationSeparator" w:id="0">
    <w:p w:rsidR="00E51617" w:rsidRDefault="00E51617" w:rsidP="004F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67E"/>
    <w:multiLevelType w:val="hybridMultilevel"/>
    <w:tmpl w:val="AA9A4416"/>
    <w:lvl w:ilvl="0" w:tplc="ADF069E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B6B5B"/>
    <w:multiLevelType w:val="hybridMultilevel"/>
    <w:tmpl w:val="889C71FC"/>
    <w:lvl w:ilvl="0" w:tplc="70DAB56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aleway" w:hAnsi="Raleway" w:hint="default"/>
      </w:rPr>
    </w:lvl>
    <w:lvl w:ilvl="1" w:tplc="12C43660">
      <w:start w:val="84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45BF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aleway" w:hAnsi="Raleway" w:hint="default"/>
      </w:rPr>
    </w:lvl>
    <w:lvl w:ilvl="3" w:tplc="EA60F5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aleway" w:hAnsi="Raleway" w:hint="default"/>
      </w:rPr>
    </w:lvl>
    <w:lvl w:ilvl="4" w:tplc="8D86C63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aleway" w:hAnsi="Raleway" w:hint="default"/>
      </w:rPr>
    </w:lvl>
    <w:lvl w:ilvl="5" w:tplc="0AA2378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aleway" w:hAnsi="Raleway" w:hint="default"/>
      </w:rPr>
    </w:lvl>
    <w:lvl w:ilvl="6" w:tplc="BBA0A2D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aleway" w:hAnsi="Raleway" w:hint="default"/>
      </w:rPr>
    </w:lvl>
    <w:lvl w:ilvl="7" w:tplc="D74E5B6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aleway" w:hAnsi="Raleway" w:hint="default"/>
      </w:rPr>
    </w:lvl>
    <w:lvl w:ilvl="8" w:tplc="3C7EFF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aleway" w:hAnsi="Raleway" w:hint="default"/>
      </w:rPr>
    </w:lvl>
  </w:abstractNum>
  <w:abstractNum w:abstractNumId="2" w15:restartNumberingAfterBreak="0">
    <w:nsid w:val="21642990"/>
    <w:multiLevelType w:val="hybridMultilevel"/>
    <w:tmpl w:val="43DE2C40"/>
    <w:lvl w:ilvl="0" w:tplc="E3C213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A416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703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F43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E5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CAE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E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E67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60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8696A"/>
    <w:multiLevelType w:val="hybridMultilevel"/>
    <w:tmpl w:val="9392E40A"/>
    <w:lvl w:ilvl="0" w:tplc="06B4A33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C8040E"/>
    <w:multiLevelType w:val="hybridMultilevel"/>
    <w:tmpl w:val="7A881D96"/>
    <w:lvl w:ilvl="0" w:tplc="7B8C50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8A07D1"/>
    <w:multiLevelType w:val="hybridMultilevel"/>
    <w:tmpl w:val="3934D3B2"/>
    <w:lvl w:ilvl="0" w:tplc="829AECD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A469D9"/>
    <w:multiLevelType w:val="hybridMultilevel"/>
    <w:tmpl w:val="8C94978A"/>
    <w:lvl w:ilvl="0" w:tplc="85408AE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44AAB"/>
    <w:multiLevelType w:val="hybridMultilevel"/>
    <w:tmpl w:val="AC523F26"/>
    <w:lvl w:ilvl="0" w:tplc="FF0053A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aleway" w:hAnsi="Raleway" w:hint="default"/>
      </w:rPr>
    </w:lvl>
    <w:lvl w:ilvl="1" w:tplc="E0E8DF3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aleway" w:hAnsi="Raleway" w:hint="default"/>
      </w:rPr>
    </w:lvl>
    <w:lvl w:ilvl="2" w:tplc="49C442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aleway" w:hAnsi="Raleway" w:hint="default"/>
      </w:rPr>
    </w:lvl>
    <w:lvl w:ilvl="3" w:tplc="20B632D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aleway" w:hAnsi="Raleway" w:hint="default"/>
      </w:rPr>
    </w:lvl>
    <w:lvl w:ilvl="4" w:tplc="9CBC53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aleway" w:hAnsi="Raleway" w:hint="default"/>
      </w:rPr>
    </w:lvl>
    <w:lvl w:ilvl="5" w:tplc="895AC40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aleway" w:hAnsi="Raleway" w:hint="default"/>
      </w:rPr>
    </w:lvl>
    <w:lvl w:ilvl="6" w:tplc="9EDA988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aleway" w:hAnsi="Raleway" w:hint="default"/>
      </w:rPr>
    </w:lvl>
    <w:lvl w:ilvl="7" w:tplc="5B8C918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aleway" w:hAnsi="Raleway" w:hint="default"/>
      </w:rPr>
    </w:lvl>
    <w:lvl w:ilvl="8" w:tplc="660429A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aleway" w:hAnsi="Raleway" w:hint="default"/>
      </w:rPr>
    </w:lvl>
  </w:abstractNum>
  <w:abstractNum w:abstractNumId="8" w15:restartNumberingAfterBreak="0">
    <w:nsid w:val="5AEB27B0"/>
    <w:multiLevelType w:val="hybridMultilevel"/>
    <w:tmpl w:val="0CDEFD92"/>
    <w:lvl w:ilvl="0" w:tplc="7B8C50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CD54BC"/>
    <w:multiLevelType w:val="hybridMultilevel"/>
    <w:tmpl w:val="F8D471E4"/>
    <w:lvl w:ilvl="0" w:tplc="D7B01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E6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360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89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87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2E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02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870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0C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334008"/>
    <w:multiLevelType w:val="hybridMultilevel"/>
    <w:tmpl w:val="0CDEFD92"/>
    <w:lvl w:ilvl="0" w:tplc="7B8C50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560DF4"/>
    <w:multiLevelType w:val="hybridMultilevel"/>
    <w:tmpl w:val="0CDEFD92"/>
    <w:lvl w:ilvl="0" w:tplc="7B8C50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A31676"/>
    <w:multiLevelType w:val="hybridMultilevel"/>
    <w:tmpl w:val="C3066744"/>
    <w:lvl w:ilvl="0" w:tplc="D65E64A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3B684B"/>
    <w:multiLevelType w:val="hybridMultilevel"/>
    <w:tmpl w:val="35C64F0C"/>
    <w:lvl w:ilvl="0" w:tplc="3098BA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4A08B8"/>
    <w:multiLevelType w:val="hybridMultilevel"/>
    <w:tmpl w:val="7666C8B4"/>
    <w:lvl w:ilvl="0" w:tplc="1F78A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8AD8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A7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B8C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C3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141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CA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642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A4A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43281"/>
    <w:multiLevelType w:val="hybridMultilevel"/>
    <w:tmpl w:val="88827268"/>
    <w:lvl w:ilvl="0" w:tplc="61E065D2"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7427743"/>
    <w:multiLevelType w:val="hybridMultilevel"/>
    <w:tmpl w:val="18F0F2E4"/>
    <w:lvl w:ilvl="0" w:tplc="7B8C50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4"/>
  </w:num>
  <w:num w:numId="5">
    <w:abstractNumId w:val="16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14"/>
  </w:num>
  <w:num w:numId="12">
    <w:abstractNumId w:val="9"/>
  </w:num>
  <w:num w:numId="13">
    <w:abstractNumId w:val="2"/>
  </w:num>
  <w:num w:numId="14">
    <w:abstractNumId w:val="15"/>
  </w:num>
  <w:num w:numId="15">
    <w:abstractNumId w:val="13"/>
  </w:num>
  <w:num w:numId="16">
    <w:abstractNumId w:val="5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94"/>
    <w:rsid w:val="000010B1"/>
    <w:rsid w:val="00002E05"/>
    <w:rsid w:val="000206EF"/>
    <w:rsid w:val="00053AC5"/>
    <w:rsid w:val="000559BB"/>
    <w:rsid w:val="0006299F"/>
    <w:rsid w:val="00071F5D"/>
    <w:rsid w:val="000752CC"/>
    <w:rsid w:val="00093DEC"/>
    <w:rsid w:val="00094141"/>
    <w:rsid w:val="000B7C8F"/>
    <w:rsid w:val="000C0079"/>
    <w:rsid w:val="000C5867"/>
    <w:rsid w:val="000D2F5C"/>
    <w:rsid w:val="00134CC2"/>
    <w:rsid w:val="00151376"/>
    <w:rsid w:val="00157741"/>
    <w:rsid w:val="0016167D"/>
    <w:rsid w:val="0017145C"/>
    <w:rsid w:val="00175336"/>
    <w:rsid w:val="001967F3"/>
    <w:rsid w:val="00197C26"/>
    <w:rsid w:val="001A2C20"/>
    <w:rsid w:val="001D0CBF"/>
    <w:rsid w:val="001D7C87"/>
    <w:rsid w:val="001D7EE2"/>
    <w:rsid w:val="001E03AB"/>
    <w:rsid w:val="001E0930"/>
    <w:rsid w:val="001E1782"/>
    <w:rsid w:val="001F1F8C"/>
    <w:rsid w:val="001F2E97"/>
    <w:rsid w:val="001F4A24"/>
    <w:rsid w:val="002003DA"/>
    <w:rsid w:val="00243DA6"/>
    <w:rsid w:val="00254BCA"/>
    <w:rsid w:val="00274422"/>
    <w:rsid w:val="002C0AB1"/>
    <w:rsid w:val="002C4661"/>
    <w:rsid w:val="002D39E5"/>
    <w:rsid w:val="002D48E8"/>
    <w:rsid w:val="002D7005"/>
    <w:rsid w:val="002F2F80"/>
    <w:rsid w:val="002F654B"/>
    <w:rsid w:val="00305B2D"/>
    <w:rsid w:val="00343709"/>
    <w:rsid w:val="00347AA9"/>
    <w:rsid w:val="003502A9"/>
    <w:rsid w:val="00355E65"/>
    <w:rsid w:val="00357FA9"/>
    <w:rsid w:val="003B45D6"/>
    <w:rsid w:val="003C6FC7"/>
    <w:rsid w:val="003D322D"/>
    <w:rsid w:val="003E31B4"/>
    <w:rsid w:val="003E7684"/>
    <w:rsid w:val="003F631B"/>
    <w:rsid w:val="0041462E"/>
    <w:rsid w:val="00424259"/>
    <w:rsid w:val="00424341"/>
    <w:rsid w:val="0042453F"/>
    <w:rsid w:val="00437DA2"/>
    <w:rsid w:val="00453CAF"/>
    <w:rsid w:val="004555D3"/>
    <w:rsid w:val="004565F6"/>
    <w:rsid w:val="0046616E"/>
    <w:rsid w:val="0046684A"/>
    <w:rsid w:val="00491B25"/>
    <w:rsid w:val="00492CEB"/>
    <w:rsid w:val="004A7C86"/>
    <w:rsid w:val="004B1EEA"/>
    <w:rsid w:val="004C09F1"/>
    <w:rsid w:val="004E26B7"/>
    <w:rsid w:val="004E68C5"/>
    <w:rsid w:val="004F13D4"/>
    <w:rsid w:val="004F442D"/>
    <w:rsid w:val="004F7F10"/>
    <w:rsid w:val="0052416B"/>
    <w:rsid w:val="005266FB"/>
    <w:rsid w:val="00540881"/>
    <w:rsid w:val="005443E2"/>
    <w:rsid w:val="0057255D"/>
    <w:rsid w:val="00577DF0"/>
    <w:rsid w:val="005B063B"/>
    <w:rsid w:val="005E6BB0"/>
    <w:rsid w:val="0060159F"/>
    <w:rsid w:val="006053CF"/>
    <w:rsid w:val="0062254C"/>
    <w:rsid w:val="00623E6F"/>
    <w:rsid w:val="006406F1"/>
    <w:rsid w:val="00686266"/>
    <w:rsid w:val="00692B6B"/>
    <w:rsid w:val="006965FD"/>
    <w:rsid w:val="006A3E34"/>
    <w:rsid w:val="006B7243"/>
    <w:rsid w:val="006C4045"/>
    <w:rsid w:val="006D1B04"/>
    <w:rsid w:val="006D2D28"/>
    <w:rsid w:val="006E2034"/>
    <w:rsid w:val="006E670A"/>
    <w:rsid w:val="00712255"/>
    <w:rsid w:val="007269CB"/>
    <w:rsid w:val="00750544"/>
    <w:rsid w:val="007662F5"/>
    <w:rsid w:val="007947B3"/>
    <w:rsid w:val="007A0457"/>
    <w:rsid w:val="007A7E3C"/>
    <w:rsid w:val="007B64B1"/>
    <w:rsid w:val="007D1E1F"/>
    <w:rsid w:val="007D2313"/>
    <w:rsid w:val="007E5794"/>
    <w:rsid w:val="007F1926"/>
    <w:rsid w:val="007F5C83"/>
    <w:rsid w:val="007F79D6"/>
    <w:rsid w:val="008037F8"/>
    <w:rsid w:val="0080655E"/>
    <w:rsid w:val="00812E6A"/>
    <w:rsid w:val="00836FBD"/>
    <w:rsid w:val="008403E0"/>
    <w:rsid w:val="008435FD"/>
    <w:rsid w:val="00867FB7"/>
    <w:rsid w:val="00884013"/>
    <w:rsid w:val="008900EB"/>
    <w:rsid w:val="0089074A"/>
    <w:rsid w:val="00893211"/>
    <w:rsid w:val="008B39EE"/>
    <w:rsid w:val="008B6832"/>
    <w:rsid w:val="008F21B7"/>
    <w:rsid w:val="00901C66"/>
    <w:rsid w:val="0091529C"/>
    <w:rsid w:val="00916059"/>
    <w:rsid w:val="00920AFE"/>
    <w:rsid w:val="009236D5"/>
    <w:rsid w:val="009340C6"/>
    <w:rsid w:val="00940CE4"/>
    <w:rsid w:val="00941E85"/>
    <w:rsid w:val="00943EEA"/>
    <w:rsid w:val="00967FD6"/>
    <w:rsid w:val="0099019A"/>
    <w:rsid w:val="009907E9"/>
    <w:rsid w:val="00991265"/>
    <w:rsid w:val="009A2A1D"/>
    <w:rsid w:val="009B02CE"/>
    <w:rsid w:val="009D5D0A"/>
    <w:rsid w:val="009E3A4A"/>
    <w:rsid w:val="009E6123"/>
    <w:rsid w:val="009F23CE"/>
    <w:rsid w:val="009F5338"/>
    <w:rsid w:val="00A00587"/>
    <w:rsid w:val="00A15ED7"/>
    <w:rsid w:val="00A24543"/>
    <w:rsid w:val="00A35721"/>
    <w:rsid w:val="00A47103"/>
    <w:rsid w:val="00A572AA"/>
    <w:rsid w:val="00A5741C"/>
    <w:rsid w:val="00A64DE5"/>
    <w:rsid w:val="00A74354"/>
    <w:rsid w:val="00A8048D"/>
    <w:rsid w:val="00A80EC4"/>
    <w:rsid w:val="00A82A30"/>
    <w:rsid w:val="00A85BB5"/>
    <w:rsid w:val="00A87750"/>
    <w:rsid w:val="00A92AEB"/>
    <w:rsid w:val="00A94DE9"/>
    <w:rsid w:val="00AA3950"/>
    <w:rsid w:val="00AC2E12"/>
    <w:rsid w:val="00AD5AEB"/>
    <w:rsid w:val="00AF3AC3"/>
    <w:rsid w:val="00AF5E40"/>
    <w:rsid w:val="00AF6B69"/>
    <w:rsid w:val="00B01BE6"/>
    <w:rsid w:val="00B22DD4"/>
    <w:rsid w:val="00B5750E"/>
    <w:rsid w:val="00B719E4"/>
    <w:rsid w:val="00B84FB9"/>
    <w:rsid w:val="00BE1111"/>
    <w:rsid w:val="00BE3005"/>
    <w:rsid w:val="00BF6314"/>
    <w:rsid w:val="00C00EDF"/>
    <w:rsid w:val="00C12046"/>
    <w:rsid w:val="00C1409C"/>
    <w:rsid w:val="00C2538E"/>
    <w:rsid w:val="00C31650"/>
    <w:rsid w:val="00C33C2C"/>
    <w:rsid w:val="00C377F7"/>
    <w:rsid w:val="00C53FE4"/>
    <w:rsid w:val="00C72A46"/>
    <w:rsid w:val="00C7461F"/>
    <w:rsid w:val="00C7481D"/>
    <w:rsid w:val="00C92D0F"/>
    <w:rsid w:val="00C962DD"/>
    <w:rsid w:val="00CB43E3"/>
    <w:rsid w:val="00CC1DF6"/>
    <w:rsid w:val="00CC7B0E"/>
    <w:rsid w:val="00CF4DD7"/>
    <w:rsid w:val="00D03223"/>
    <w:rsid w:val="00D305B1"/>
    <w:rsid w:val="00D434D8"/>
    <w:rsid w:val="00D50FA9"/>
    <w:rsid w:val="00D54816"/>
    <w:rsid w:val="00D54B0C"/>
    <w:rsid w:val="00D5500E"/>
    <w:rsid w:val="00D631A9"/>
    <w:rsid w:val="00D67863"/>
    <w:rsid w:val="00D719BF"/>
    <w:rsid w:val="00D83606"/>
    <w:rsid w:val="00D868EE"/>
    <w:rsid w:val="00D92CC4"/>
    <w:rsid w:val="00DB18F0"/>
    <w:rsid w:val="00DB5BB8"/>
    <w:rsid w:val="00DC0DB3"/>
    <w:rsid w:val="00DC376A"/>
    <w:rsid w:val="00DD1516"/>
    <w:rsid w:val="00DD36A9"/>
    <w:rsid w:val="00DD57CA"/>
    <w:rsid w:val="00DE53EA"/>
    <w:rsid w:val="00DF5C2B"/>
    <w:rsid w:val="00E11D48"/>
    <w:rsid w:val="00E201A0"/>
    <w:rsid w:val="00E23F7F"/>
    <w:rsid w:val="00E511DA"/>
    <w:rsid w:val="00E51617"/>
    <w:rsid w:val="00E557EB"/>
    <w:rsid w:val="00E61426"/>
    <w:rsid w:val="00E64D70"/>
    <w:rsid w:val="00E674D1"/>
    <w:rsid w:val="00E94665"/>
    <w:rsid w:val="00EA5F1B"/>
    <w:rsid w:val="00EC291F"/>
    <w:rsid w:val="00EC5235"/>
    <w:rsid w:val="00EC58A5"/>
    <w:rsid w:val="00EE67A0"/>
    <w:rsid w:val="00EE6D81"/>
    <w:rsid w:val="00F10A45"/>
    <w:rsid w:val="00F1320C"/>
    <w:rsid w:val="00F35456"/>
    <w:rsid w:val="00F465F8"/>
    <w:rsid w:val="00F55D8F"/>
    <w:rsid w:val="00F61EB6"/>
    <w:rsid w:val="00F651AC"/>
    <w:rsid w:val="00F716DB"/>
    <w:rsid w:val="00F841FA"/>
    <w:rsid w:val="00F96756"/>
    <w:rsid w:val="00FC1FCE"/>
    <w:rsid w:val="00FC564D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A13088-DDA7-4487-939F-D648F494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5794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3D4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3D4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E11D48"/>
    <w:pPr>
      <w:ind w:leftChars="200" w:left="480"/>
    </w:pPr>
  </w:style>
  <w:style w:type="paragraph" w:customStyle="1" w:styleId="Default">
    <w:name w:val="Default"/>
    <w:rsid w:val="00DD36A9"/>
    <w:pPr>
      <w:widowControl w:val="0"/>
      <w:autoSpaceDE w:val="0"/>
      <w:autoSpaceDN w:val="0"/>
      <w:adjustRightInd w:val="0"/>
    </w:pPr>
    <w:rPr>
      <w:rFonts w:ascii="Segoe UI" w:hAnsi="Segoe UI" w:cs="Segoe UI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453F"/>
    <w:rPr>
      <w:rFonts w:ascii="Segoe UI" w:hAnsi="Segoe UI" w:cs="Segoe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2453F"/>
    <w:rPr>
      <w:rFonts w:ascii="Segoe UI" w:eastAsia="新細明體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4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2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73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081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91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7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MOEABOE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宋俐瑩</dc:creator>
  <cp:lastModifiedBy>毛嘉瑜</cp:lastModifiedBy>
  <cp:revision>3</cp:revision>
  <cp:lastPrinted>2019-08-06T03:59:00Z</cp:lastPrinted>
  <dcterms:created xsi:type="dcterms:W3CDTF">2019-09-09T08:45:00Z</dcterms:created>
  <dcterms:modified xsi:type="dcterms:W3CDTF">2019-09-11T10:05:00Z</dcterms:modified>
</cp:coreProperties>
</file>