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86A07" w14:textId="77777777" w:rsidR="00F83306" w:rsidRPr="00587F7A" w:rsidRDefault="00F83306" w:rsidP="00174B99">
      <w:pPr>
        <w:snapToGrid w:val="0"/>
        <w:spacing w:afterLines="50" w:after="180" w:line="400" w:lineRule="exact"/>
        <w:jc w:val="both"/>
        <w:rPr>
          <w:rFonts w:ascii="Arial" w:eastAsia="微軟正黑體" w:hAnsi="Arial"/>
          <w:b/>
          <w:sz w:val="28"/>
          <w:szCs w:val="28"/>
        </w:rPr>
      </w:pPr>
      <w:r w:rsidRPr="00587F7A">
        <w:rPr>
          <w:rFonts w:ascii="Arial" w:eastAsia="微軟正黑體" w:hAnsi="Arial"/>
          <w:b/>
          <w:sz w:val="28"/>
          <w:szCs w:val="28"/>
        </w:rPr>
        <w:t>Introductory Notes</w:t>
      </w:r>
    </w:p>
    <w:p w14:paraId="5F2881C9" w14:textId="77777777" w:rsidR="00F83306" w:rsidRPr="00587F7A" w:rsidRDefault="00F83306" w:rsidP="00174B99">
      <w:pPr>
        <w:numPr>
          <w:ilvl w:val="0"/>
          <w:numId w:val="2"/>
        </w:numPr>
        <w:snapToGrid w:val="0"/>
        <w:spacing w:afterLines="50" w:after="180" w:line="400" w:lineRule="exact"/>
        <w:ind w:left="246" w:hangingChars="88" w:hanging="246"/>
        <w:jc w:val="both"/>
        <w:rPr>
          <w:rFonts w:ascii="Arial" w:eastAsia="微軟正黑體" w:hAnsi="Arial"/>
          <w:sz w:val="28"/>
          <w:szCs w:val="28"/>
        </w:rPr>
      </w:pPr>
      <w:r w:rsidRPr="00587F7A">
        <w:rPr>
          <w:rFonts w:ascii="Arial" w:eastAsia="微軟正黑體" w:hAnsi="Arial"/>
          <w:sz w:val="28"/>
          <w:szCs w:val="28"/>
        </w:rPr>
        <w:t>The purpose of the</w:t>
      </w:r>
      <w:r w:rsidR="00FD6C0C" w:rsidRPr="00587F7A">
        <w:rPr>
          <w:rFonts w:ascii="Arial" w:eastAsia="微軟正黑體" w:hAnsi="Arial"/>
          <w:sz w:val="28"/>
          <w:szCs w:val="28"/>
        </w:rPr>
        <w:t xml:space="preserve"> Taiwan Energy Statistics </w:t>
      </w:r>
      <w:r w:rsidR="00D750CC" w:rsidRPr="00587F7A">
        <w:rPr>
          <w:rFonts w:ascii="Arial" w:eastAsia="微軟正黑體" w:hAnsi="Arial"/>
          <w:sz w:val="28"/>
          <w:szCs w:val="28"/>
        </w:rPr>
        <w:t xml:space="preserve">Year </w:t>
      </w:r>
      <w:r w:rsidR="0089602E" w:rsidRPr="00587F7A">
        <w:rPr>
          <w:rFonts w:ascii="Arial" w:eastAsia="微軟正黑體" w:hAnsi="Arial"/>
          <w:sz w:val="28"/>
          <w:szCs w:val="28"/>
        </w:rPr>
        <w:t>B</w:t>
      </w:r>
      <w:r w:rsidRPr="00587F7A">
        <w:rPr>
          <w:rFonts w:ascii="Arial" w:eastAsia="微軟正黑體" w:hAnsi="Arial"/>
          <w:sz w:val="28"/>
          <w:szCs w:val="28"/>
        </w:rPr>
        <w:t>ook is to provide the basic energy statistical data of Taiwan, R.O.C.</w:t>
      </w:r>
      <w:r w:rsidR="00B37DF0" w:rsidRPr="00587F7A">
        <w:rPr>
          <w:rFonts w:ascii="Arial" w:eastAsia="微軟正黑體" w:hAnsi="Arial"/>
          <w:sz w:val="28"/>
          <w:szCs w:val="28"/>
        </w:rPr>
        <w:t xml:space="preserve"> </w:t>
      </w:r>
    </w:p>
    <w:p w14:paraId="3007D470" w14:textId="77777777" w:rsidR="00F83306" w:rsidRPr="00587F7A" w:rsidRDefault="00F83306" w:rsidP="00174B99">
      <w:pPr>
        <w:numPr>
          <w:ilvl w:val="0"/>
          <w:numId w:val="2"/>
        </w:numPr>
        <w:snapToGrid w:val="0"/>
        <w:spacing w:afterLines="50" w:after="180" w:line="400" w:lineRule="exact"/>
        <w:ind w:left="246" w:hangingChars="88" w:hanging="246"/>
        <w:jc w:val="both"/>
        <w:rPr>
          <w:rFonts w:ascii="Arial" w:eastAsia="微軟正黑體" w:hAnsi="Arial"/>
          <w:sz w:val="28"/>
          <w:szCs w:val="28"/>
        </w:rPr>
      </w:pPr>
      <w:r w:rsidRPr="00587F7A">
        <w:rPr>
          <w:rFonts w:ascii="Arial" w:eastAsia="微軟正黑體" w:hAnsi="Arial"/>
          <w:sz w:val="28"/>
          <w:szCs w:val="28"/>
        </w:rPr>
        <w:t xml:space="preserve">Users are advised to refer to the latest edition of this </w:t>
      </w:r>
      <w:r w:rsidR="00D750CC" w:rsidRPr="00587F7A">
        <w:rPr>
          <w:rFonts w:ascii="Arial" w:eastAsia="微軟正黑體" w:hAnsi="Arial"/>
          <w:sz w:val="28"/>
          <w:szCs w:val="28"/>
        </w:rPr>
        <w:t>Year Book</w:t>
      </w:r>
      <w:r w:rsidRPr="00587F7A">
        <w:rPr>
          <w:rFonts w:ascii="Arial" w:eastAsia="微軟正黑體" w:hAnsi="Arial"/>
          <w:sz w:val="28"/>
          <w:szCs w:val="28"/>
        </w:rPr>
        <w:t xml:space="preserve"> owing to the probable revisions on historical figures.</w:t>
      </w:r>
    </w:p>
    <w:p w14:paraId="376D8D0D" w14:textId="77777777" w:rsidR="00F83306" w:rsidRPr="00587F7A" w:rsidRDefault="00F83306" w:rsidP="00174B99">
      <w:pPr>
        <w:numPr>
          <w:ilvl w:val="0"/>
          <w:numId w:val="2"/>
        </w:numPr>
        <w:snapToGrid w:val="0"/>
        <w:spacing w:afterLines="50" w:after="180" w:line="400" w:lineRule="exact"/>
        <w:ind w:left="246" w:hangingChars="88" w:hanging="246"/>
        <w:jc w:val="both"/>
        <w:rPr>
          <w:rFonts w:ascii="Arial" w:eastAsia="微軟正黑體" w:hAnsi="Arial"/>
          <w:sz w:val="28"/>
          <w:szCs w:val="28"/>
        </w:rPr>
      </w:pPr>
      <w:r w:rsidRPr="00587F7A">
        <w:rPr>
          <w:rFonts w:ascii="Arial" w:eastAsia="微軟正黑體" w:hAnsi="Arial"/>
          <w:sz w:val="28"/>
          <w:szCs w:val="28"/>
        </w:rPr>
        <w:t>The totals might not</w:t>
      </w:r>
      <w:r w:rsidR="0048253B" w:rsidRPr="00587F7A">
        <w:rPr>
          <w:rFonts w:ascii="Arial" w:eastAsia="微軟正黑體" w:hAnsi="Arial"/>
          <w:sz w:val="28"/>
          <w:szCs w:val="28"/>
        </w:rPr>
        <w:t xml:space="preserve"> be</w:t>
      </w:r>
      <w:r w:rsidRPr="00587F7A">
        <w:rPr>
          <w:rFonts w:ascii="Arial" w:eastAsia="微軟正黑體" w:hAnsi="Arial"/>
          <w:sz w:val="28"/>
          <w:szCs w:val="28"/>
        </w:rPr>
        <w:t xml:space="preserve"> equal to the summations of</w:t>
      </w:r>
      <w:r w:rsidR="00D750CC" w:rsidRPr="00587F7A">
        <w:rPr>
          <w:rFonts w:ascii="Arial" w:eastAsia="微軟正黑體" w:hAnsi="Arial"/>
          <w:sz w:val="28"/>
          <w:szCs w:val="28"/>
        </w:rPr>
        <w:t xml:space="preserve"> separate items due to rounding</w:t>
      </w:r>
      <w:r w:rsidRPr="00587F7A">
        <w:rPr>
          <w:rFonts w:ascii="Arial" w:eastAsia="微軟正黑體" w:hAnsi="Arial"/>
          <w:sz w:val="28"/>
          <w:szCs w:val="28"/>
        </w:rPr>
        <w:t>.</w:t>
      </w:r>
    </w:p>
    <w:p w14:paraId="00C906B1" w14:textId="77777777" w:rsidR="008848A2" w:rsidRPr="00587F7A" w:rsidRDefault="008848A2" w:rsidP="00174B99">
      <w:pPr>
        <w:numPr>
          <w:ilvl w:val="0"/>
          <w:numId w:val="2"/>
        </w:numPr>
        <w:snapToGrid w:val="0"/>
        <w:spacing w:afterLines="50" w:after="180" w:line="400" w:lineRule="exact"/>
        <w:ind w:left="246" w:hangingChars="88" w:hanging="246"/>
        <w:jc w:val="both"/>
        <w:rPr>
          <w:rFonts w:ascii="Arial" w:eastAsia="微軟正黑體" w:hAnsi="Arial"/>
          <w:sz w:val="28"/>
          <w:szCs w:val="28"/>
        </w:rPr>
      </w:pPr>
      <w:r w:rsidRPr="00587F7A">
        <w:rPr>
          <w:rFonts w:ascii="Arial" w:eastAsia="微軟正黑體" w:hAnsi="Arial"/>
          <w:sz w:val="28"/>
          <w:szCs w:val="28"/>
        </w:rPr>
        <w:t>In the Table, “-” stands for the figure being zero or not available, and “0.0” indicates the figure is too tiny to be addressed.</w:t>
      </w:r>
    </w:p>
    <w:p w14:paraId="3B12550C" w14:textId="77777777" w:rsidR="00A614B1" w:rsidRPr="00587F7A" w:rsidRDefault="00A614B1" w:rsidP="00174B99">
      <w:pPr>
        <w:numPr>
          <w:ilvl w:val="0"/>
          <w:numId w:val="2"/>
        </w:numPr>
        <w:snapToGrid w:val="0"/>
        <w:spacing w:afterLines="50" w:after="180" w:line="400" w:lineRule="exact"/>
        <w:ind w:left="246" w:hangingChars="88" w:hanging="246"/>
        <w:jc w:val="both"/>
        <w:rPr>
          <w:rFonts w:ascii="Arial" w:eastAsia="微軟正黑體" w:hAnsi="Arial"/>
          <w:sz w:val="28"/>
          <w:szCs w:val="28"/>
        </w:rPr>
      </w:pPr>
      <w:bookmarkStart w:id="0" w:name="_Hlk100239119"/>
      <w:r w:rsidRPr="00587F7A">
        <w:rPr>
          <w:rFonts w:ascii="Arial" w:eastAsia="微軟正黑體" w:hAnsi="Arial"/>
          <w:sz w:val="28"/>
          <w:szCs w:val="28"/>
        </w:rPr>
        <w:t xml:space="preserve">The columns of Energy Balances indicate the primary and secondary energy of various energy commodities, including 7 main categories, i.e. Coal and Coal Products, Crude Oil and Petroleum Products, Natural Gas, </w:t>
      </w:r>
      <w:r w:rsidR="00F42AA6" w:rsidRPr="00587F7A">
        <w:rPr>
          <w:rFonts w:ascii="Arial" w:eastAsia="微軟正黑體" w:hAnsi="Arial"/>
          <w:sz w:val="28"/>
          <w:szCs w:val="28"/>
        </w:rPr>
        <w:t>Biomass and</w:t>
      </w:r>
      <w:r w:rsidR="00F42AA6" w:rsidRPr="00587F7A">
        <w:rPr>
          <w:rFonts w:ascii="Arial" w:eastAsia="微軟正黑體" w:hAnsi="Arial" w:hint="eastAsia"/>
          <w:sz w:val="28"/>
          <w:szCs w:val="28"/>
        </w:rPr>
        <w:t xml:space="preserve"> </w:t>
      </w:r>
      <w:r w:rsidR="00F42AA6" w:rsidRPr="00587F7A">
        <w:rPr>
          <w:rFonts w:ascii="Arial" w:eastAsia="微軟正黑體" w:hAnsi="Arial"/>
          <w:sz w:val="28"/>
          <w:szCs w:val="28"/>
        </w:rPr>
        <w:t>Waste</w:t>
      </w:r>
      <w:r w:rsidRPr="00587F7A">
        <w:rPr>
          <w:rFonts w:ascii="Arial" w:eastAsia="微軟正黑體" w:hAnsi="Arial"/>
          <w:sz w:val="28"/>
          <w:szCs w:val="28"/>
        </w:rPr>
        <w:t xml:space="preserve">, </w:t>
      </w:r>
      <w:r w:rsidR="00F42AA6" w:rsidRPr="00587F7A">
        <w:rPr>
          <w:rFonts w:ascii="Arial" w:eastAsia="微軟正黑體" w:hAnsi="Arial"/>
          <w:sz w:val="28"/>
          <w:szCs w:val="28"/>
        </w:rPr>
        <w:t>Electricity</w:t>
      </w:r>
      <w:r w:rsidRPr="00587F7A">
        <w:rPr>
          <w:rFonts w:ascii="Arial" w:eastAsia="微軟正黑體" w:hAnsi="Arial"/>
          <w:sz w:val="28"/>
          <w:szCs w:val="28"/>
        </w:rPr>
        <w:t xml:space="preserve">, </w:t>
      </w:r>
      <w:r w:rsidR="00F42AA6" w:rsidRPr="00587F7A">
        <w:rPr>
          <w:rFonts w:ascii="Arial" w:eastAsia="微軟正黑體" w:hAnsi="Arial"/>
          <w:sz w:val="28"/>
          <w:szCs w:val="28"/>
        </w:rPr>
        <w:t>Solar Thermal</w:t>
      </w:r>
      <w:r w:rsidRPr="00587F7A">
        <w:rPr>
          <w:rFonts w:ascii="Arial" w:eastAsia="微軟正黑體" w:hAnsi="Arial"/>
          <w:sz w:val="28"/>
          <w:szCs w:val="28"/>
        </w:rPr>
        <w:t xml:space="preserve">, and </w:t>
      </w:r>
      <w:r w:rsidR="00F42AA6" w:rsidRPr="00587F7A">
        <w:rPr>
          <w:rFonts w:ascii="Arial" w:eastAsia="微軟正黑體" w:hAnsi="Arial"/>
          <w:sz w:val="28"/>
          <w:szCs w:val="28"/>
        </w:rPr>
        <w:t>H</w:t>
      </w:r>
      <w:r w:rsidRPr="00587F7A">
        <w:rPr>
          <w:rFonts w:ascii="Arial" w:eastAsia="微軟正黑體" w:hAnsi="Arial"/>
          <w:sz w:val="28"/>
          <w:szCs w:val="28"/>
        </w:rPr>
        <w:t>eat.</w:t>
      </w:r>
    </w:p>
    <w:tbl>
      <w:tblPr>
        <w:tblW w:w="904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tblGrid>
      <w:tr w:rsidR="006F7470" w:rsidRPr="00587F7A" w14:paraId="6D9B95EA" w14:textId="77777777" w:rsidTr="00FB425A">
        <w:tc>
          <w:tcPr>
            <w:tcW w:w="9044" w:type="dxa"/>
            <w:tcBorders>
              <w:top w:val="single" w:sz="4" w:space="0" w:color="auto"/>
              <w:left w:val="single" w:sz="4" w:space="0" w:color="auto"/>
              <w:bottom w:val="nil"/>
              <w:right w:val="single" w:sz="4" w:space="0" w:color="auto"/>
            </w:tcBorders>
          </w:tcPr>
          <w:bookmarkEnd w:id="0"/>
          <w:p w14:paraId="49556F4C" w14:textId="77777777" w:rsidR="00EA1299" w:rsidRPr="00587F7A" w:rsidRDefault="00EA1299" w:rsidP="00EA1299">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t xml:space="preserve">1. </w:t>
            </w:r>
            <w:r w:rsidRPr="00587F7A">
              <w:rPr>
                <w:rFonts w:ascii="Arial" w:eastAsia="微軟正黑體" w:hAnsi="Arial"/>
                <w:b/>
                <w:bCs/>
                <w:szCs w:val="24"/>
              </w:rPr>
              <w:t>Coal and Coal Products</w:t>
            </w:r>
          </w:p>
        </w:tc>
      </w:tr>
      <w:tr w:rsidR="006F7470" w:rsidRPr="00587F7A" w14:paraId="669FA484" w14:textId="77777777" w:rsidTr="00FB425A">
        <w:tc>
          <w:tcPr>
            <w:tcW w:w="9044" w:type="dxa"/>
            <w:tcBorders>
              <w:top w:val="nil"/>
              <w:left w:val="single" w:sz="4" w:space="0" w:color="auto"/>
              <w:bottom w:val="nil"/>
              <w:right w:val="single" w:sz="4" w:space="0" w:color="auto"/>
            </w:tcBorders>
            <w:hideMark/>
          </w:tcPr>
          <w:p w14:paraId="04D33403" w14:textId="77777777" w:rsidR="00EA1299" w:rsidRPr="00587F7A" w:rsidRDefault="00EA1299" w:rsidP="00EA1299">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Col.1 (Coal &amp; Coal Products)</w:t>
            </w:r>
          </w:p>
          <w:p w14:paraId="357F1043" w14:textId="77777777" w:rsidR="00EA1299" w:rsidRPr="00587F7A" w:rsidRDefault="00EA1299" w:rsidP="00EA1299">
            <w:pPr>
              <w:pStyle w:val="a9"/>
              <w:overflowPunct w:val="0"/>
              <w:spacing w:line="340" w:lineRule="exact"/>
              <w:ind w:leftChars="150" w:left="360"/>
              <w:rPr>
                <w:rFonts w:ascii="Arial" w:eastAsia="微軟正黑體" w:hAnsi="Arial"/>
                <w:szCs w:val="24"/>
              </w:rPr>
            </w:pPr>
            <w:r w:rsidRPr="00587F7A">
              <w:rPr>
                <w:rFonts w:ascii="Arial" w:eastAsia="微軟正黑體" w:hAnsi="Arial" w:hint="eastAsia"/>
                <w:szCs w:val="24"/>
              </w:rPr>
              <w:t>＝</w:t>
            </w:r>
            <w:r w:rsidRPr="00587F7A">
              <w:rPr>
                <w:rFonts w:ascii="Arial" w:eastAsia="微軟正黑體" w:hAnsi="Arial" w:hint="eastAsia"/>
                <w:szCs w:val="24"/>
              </w:rPr>
              <w:t>Col.2 (Bituminous Coal-Coking Coal)</w:t>
            </w:r>
            <w:r w:rsidRPr="00587F7A">
              <w:rPr>
                <w:rFonts w:ascii="Arial" w:eastAsia="微軟正黑體" w:hAnsi="Arial" w:hint="eastAsia"/>
                <w:szCs w:val="24"/>
              </w:rPr>
              <w:t>＋</w:t>
            </w:r>
            <w:r w:rsidRPr="00587F7A">
              <w:rPr>
                <w:rFonts w:ascii="Arial" w:eastAsia="微軟正黑體" w:hAnsi="Arial" w:hint="eastAsia"/>
                <w:szCs w:val="24"/>
              </w:rPr>
              <w:t>Col.3 (Bituminous Coal-Steam Coal)+ Col.4 (Anthracite)</w:t>
            </w:r>
            <w:r w:rsidRPr="00587F7A">
              <w:rPr>
                <w:rFonts w:ascii="Arial" w:eastAsia="微軟正黑體" w:hAnsi="Arial" w:hint="eastAsia"/>
                <w:szCs w:val="24"/>
              </w:rPr>
              <w:t>＋</w:t>
            </w:r>
            <w:r w:rsidRPr="00587F7A">
              <w:rPr>
                <w:rFonts w:ascii="Arial" w:eastAsia="微軟正黑體" w:hAnsi="Arial" w:hint="eastAsia"/>
                <w:szCs w:val="24"/>
              </w:rPr>
              <w:t>Col.5 (Sub-bituminous Coal)</w:t>
            </w:r>
            <w:r w:rsidRPr="00587F7A">
              <w:rPr>
                <w:rFonts w:ascii="Arial" w:eastAsia="微軟正黑體" w:hAnsi="Arial" w:hint="eastAsia"/>
                <w:szCs w:val="24"/>
              </w:rPr>
              <w:t>＋</w:t>
            </w:r>
            <w:r w:rsidRPr="00587F7A">
              <w:rPr>
                <w:rFonts w:ascii="Arial" w:eastAsia="微軟正黑體" w:hAnsi="Arial" w:hint="eastAsia"/>
                <w:szCs w:val="24"/>
              </w:rPr>
              <w:t>Col.6 (Lignite)</w:t>
            </w:r>
            <w:r w:rsidRPr="00587F7A">
              <w:rPr>
                <w:rFonts w:ascii="Arial" w:eastAsia="微軟正黑體" w:hAnsi="Arial" w:hint="eastAsia"/>
                <w:szCs w:val="24"/>
              </w:rPr>
              <w:t>＋</w:t>
            </w:r>
            <w:r w:rsidRPr="00587F7A">
              <w:rPr>
                <w:rFonts w:ascii="Arial" w:eastAsia="微軟正黑體" w:hAnsi="Arial" w:hint="eastAsia"/>
                <w:szCs w:val="24"/>
              </w:rPr>
              <w:t>Col.7 (Peat)</w:t>
            </w:r>
            <w:r w:rsidRPr="00587F7A">
              <w:rPr>
                <w:rFonts w:ascii="Arial" w:eastAsia="微軟正黑體" w:hAnsi="Arial" w:hint="eastAsia"/>
                <w:szCs w:val="24"/>
              </w:rPr>
              <w:t>＋</w:t>
            </w:r>
            <w:r w:rsidRPr="00587F7A">
              <w:rPr>
                <w:rFonts w:ascii="Arial" w:eastAsia="微軟正黑體" w:hAnsi="Arial" w:hint="eastAsia"/>
                <w:szCs w:val="24"/>
              </w:rPr>
              <w:t>Col.8 (Coke Oven Coke)</w:t>
            </w:r>
            <w:r w:rsidRPr="00587F7A">
              <w:rPr>
                <w:rFonts w:ascii="Arial" w:eastAsia="微軟正黑體" w:hAnsi="Arial" w:hint="eastAsia"/>
                <w:szCs w:val="24"/>
              </w:rPr>
              <w:t>＋</w:t>
            </w:r>
            <w:r w:rsidRPr="00587F7A">
              <w:rPr>
                <w:rFonts w:ascii="Arial" w:eastAsia="微軟正黑體" w:hAnsi="Arial" w:hint="eastAsia"/>
                <w:szCs w:val="24"/>
              </w:rPr>
              <w:t>Col.9 (Patent Fuel)</w:t>
            </w:r>
            <w:r w:rsidRPr="00587F7A">
              <w:rPr>
                <w:rFonts w:ascii="Arial" w:eastAsia="微軟正黑體" w:hAnsi="Arial" w:hint="eastAsia"/>
                <w:szCs w:val="24"/>
              </w:rPr>
              <w:t>＋</w:t>
            </w:r>
            <w:r w:rsidRPr="00587F7A">
              <w:rPr>
                <w:rFonts w:ascii="Arial" w:eastAsia="微軟正黑體" w:hAnsi="Arial" w:hint="eastAsia"/>
                <w:szCs w:val="24"/>
              </w:rPr>
              <w:t xml:space="preserve">Col.10 (Coke </w:t>
            </w:r>
            <w:r w:rsidRPr="00587F7A">
              <w:rPr>
                <w:rFonts w:ascii="Arial" w:eastAsia="微軟正黑體" w:hAnsi="Arial" w:hint="eastAsia"/>
                <w:szCs w:val="24"/>
                <w:u w:val="single"/>
              </w:rPr>
              <w:t>Oven Gas)</w:t>
            </w:r>
            <w:r w:rsidRPr="00587F7A">
              <w:rPr>
                <w:rFonts w:ascii="Arial" w:eastAsia="微軟正黑體" w:hAnsi="Arial" w:hint="eastAsia"/>
                <w:szCs w:val="24"/>
                <w:u w:val="single"/>
              </w:rPr>
              <w:t>＋</w:t>
            </w:r>
            <w:r w:rsidRPr="00587F7A">
              <w:rPr>
                <w:rFonts w:ascii="Arial" w:eastAsia="微軟正黑體" w:hAnsi="Arial" w:hint="eastAsia"/>
                <w:szCs w:val="24"/>
                <w:u w:val="single"/>
              </w:rPr>
              <w:t>Col.11 (Blast Furnace Gas)</w:t>
            </w:r>
            <w:r w:rsidRPr="00587F7A">
              <w:rPr>
                <w:rFonts w:ascii="Arial" w:eastAsia="微軟正黑體" w:hAnsi="Arial" w:hint="eastAsia"/>
                <w:szCs w:val="24"/>
                <w:u w:val="single"/>
              </w:rPr>
              <w:t>＋</w:t>
            </w:r>
            <w:r w:rsidRPr="00587F7A">
              <w:rPr>
                <w:rFonts w:ascii="Arial" w:eastAsia="微軟正黑體" w:hAnsi="Arial" w:hint="eastAsia"/>
                <w:szCs w:val="24"/>
                <w:u w:val="single"/>
              </w:rPr>
              <w:t>Col.12 (Oxygen</w:t>
            </w:r>
            <w:r w:rsidRPr="00587F7A">
              <w:rPr>
                <w:rFonts w:ascii="Arial" w:eastAsia="微軟正黑體" w:hAnsi="Arial"/>
                <w:szCs w:val="24"/>
                <w:u w:val="single"/>
              </w:rPr>
              <w:t xml:space="preserve"> Steel Furnace Gas)</w:t>
            </w:r>
            <w:r w:rsidRPr="00587F7A">
              <w:rPr>
                <w:rFonts w:ascii="Arial" w:eastAsia="微軟正黑體" w:hAnsi="Arial" w:hint="eastAsia"/>
                <w:szCs w:val="24"/>
                <w:u w:val="single"/>
              </w:rPr>
              <w:t xml:space="preserve"> </w:t>
            </w:r>
          </w:p>
        </w:tc>
      </w:tr>
      <w:tr w:rsidR="006F7470" w:rsidRPr="00587F7A" w14:paraId="314EEC25" w14:textId="77777777" w:rsidTr="00FB425A">
        <w:tc>
          <w:tcPr>
            <w:tcW w:w="9044" w:type="dxa"/>
            <w:tcBorders>
              <w:top w:val="nil"/>
              <w:left w:val="single" w:sz="4" w:space="0" w:color="auto"/>
              <w:bottom w:val="single" w:sz="4" w:space="0" w:color="auto"/>
              <w:right w:val="single" w:sz="4" w:space="0" w:color="auto"/>
            </w:tcBorders>
            <w:hideMark/>
          </w:tcPr>
          <w:p w14:paraId="1577556A" w14:textId="77777777" w:rsidR="000F7C3B" w:rsidRPr="00587F7A" w:rsidRDefault="00EA1299"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w:t>
            </w:r>
            <w:r w:rsidR="000F7C3B" w:rsidRPr="00587F7A">
              <w:rPr>
                <w:rFonts w:ascii="Arial" w:eastAsia="微軟正黑體" w:hAnsi="Arial"/>
                <w:szCs w:val="24"/>
              </w:rPr>
              <w:t xml:space="preserve"> In previous format, coal was divided into indigenous coal, imported coking coal, and imported steam coal. The new format displays 6 categories of coal as illustrated, though some data are not available yet. Oxygen steel furnace gas is a new energy in new format. </w:t>
            </w:r>
          </w:p>
          <w:p w14:paraId="1E1487D8" w14:textId="77777777" w:rsidR="000F7C3B" w:rsidRPr="00587F7A" w:rsidRDefault="000F7C3B"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hint="eastAsia"/>
                <w:szCs w:val="24"/>
              </w:rPr>
              <w:t xml:space="preserve"> </w:t>
            </w:r>
            <w:r w:rsidRPr="00587F7A">
              <w:rPr>
                <w:rFonts w:ascii="Arial" w:eastAsia="微軟正黑體" w:hAnsi="Arial"/>
                <w:szCs w:val="24"/>
              </w:rPr>
              <w:t>The production of indigenous coal in previous Energy Balances is split into production of bituminous coal-coking coal and bituminous coal-steam coal, respectively, according to the ratio of coking and fuel use.</w:t>
            </w:r>
          </w:p>
          <w:p w14:paraId="14AC3620" w14:textId="77777777" w:rsidR="000F7C3B" w:rsidRPr="00587F7A" w:rsidRDefault="000F7C3B"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w:t>
            </w:r>
            <w:r w:rsidRPr="00587F7A">
              <w:rPr>
                <w:rFonts w:ascii="Arial" w:eastAsia="微軟正黑體" w:hAnsi="Arial" w:hint="eastAsia"/>
                <w:szCs w:val="24"/>
              </w:rPr>
              <w:t xml:space="preserve"> </w:t>
            </w:r>
            <w:r w:rsidRPr="00587F7A">
              <w:rPr>
                <w:rFonts w:ascii="Arial" w:eastAsia="微軟正黑體" w:hAnsi="Arial"/>
                <w:szCs w:val="24"/>
              </w:rPr>
              <w:t>The coal imports of steel industry, which was classified into imported coking coal and imported steam coal in previous format, is re-categorized into coking coal, steam coal, anthracite, and sub-bituminous coal according to the quality of coal.</w:t>
            </w:r>
          </w:p>
          <w:p w14:paraId="2DA51622" w14:textId="77777777" w:rsidR="00EA1299" w:rsidRPr="00587F7A" w:rsidRDefault="000F7C3B"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(4)</w:t>
            </w:r>
            <w:r w:rsidRPr="00587F7A">
              <w:rPr>
                <w:rFonts w:ascii="Arial" w:eastAsia="微軟正黑體" w:hAnsi="Arial" w:hint="eastAsia"/>
                <w:szCs w:val="24"/>
              </w:rPr>
              <w:t xml:space="preserve"> </w:t>
            </w:r>
            <w:r w:rsidRPr="00587F7A">
              <w:rPr>
                <w:rFonts w:ascii="Arial" w:eastAsia="微軟正黑體" w:hAnsi="Arial"/>
                <w:szCs w:val="24"/>
              </w:rPr>
              <w:t>Volumes of coke oven gas, blast furnace gas, and oxygen steel furnace gas for cogeneration in the steel industry are estimates for early years due to lack of reliable data.</w:t>
            </w:r>
            <w:r w:rsidR="00EA1299" w:rsidRPr="00587F7A">
              <w:rPr>
                <w:rFonts w:ascii="Arial" w:eastAsia="微軟正黑體" w:hAnsi="Arial"/>
                <w:szCs w:val="24"/>
              </w:rPr>
              <w:t xml:space="preserve"> </w:t>
            </w:r>
          </w:p>
        </w:tc>
      </w:tr>
      <w:tr w:rsidR="006F7470" w:rsidRPr="00587F7A" w14:paraId="0AA8499D" w14:textId="77777777" w:rsidTr="00FB425A">
        <w:tc>
          <w:tcPr>
            <w:tcW w:w="9044" w:type="dxa"/>
            <w:tcBorders>
              <w:top w:val="single" w:sz="4" w:space="0" w:color="auto"/>
              <w:left w:val="single" w:sz="4" w:space="0" w:color="auto"/>
              <w:bottom w:val="nil"/>
              <w:right w:val="single" w:sz="4" w:space="0" w:color="auto"/>
            </w:tcBorders>
          </w:tcPr>
          <w:p w14:paraId="3BC62075" w14:textId="77777777" w:rsidR="00EA1299" w:rsidRPr="00587F7A" w:rsidRDefault="00EA1299" w:rsidP="00FB425A">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t xml:space="preserve">2. </w:t>
            </w:r>
            <w:r w:rsidR="000F7C3B" w:rsidRPr="00587F7A">
              <w:rPr>
                <w:rFonts w:ascii="Arial" w:eastAsia="微軟正黑體" w:hAnsi="Arial"/>
                <w:b/>
                <w:bCs/>
                <w:szCs w:val="24"/>
              </w:rPr>
              <w:t>Crude Oil and Petroleum Products</w:t>
            </w:r>
          </w:p>
          <w:p w14:paraId="3AD7FA40" w14:textId="77777777" w:rsidR="00EA1299" w:rsidRPr="00587F7A" w:rsidRDefault="00EA1299" w:rsidP="00FB425A">
            <w:pPr>
              <w:pStyle w:val="a9"/>
              <w:overflowPunct w:val="0"/>
              <w:spacing w:line="340" w:lineRule="exact"/>
              <w:ind w:leftChars="150" w:left="360"/>
              <w:rPr>
                <w:rFonts w:ascii="Arial" w:eastAsia="微軟正黑體" w:hAnsi="Arial"/>
                <w:szCs w:val="24"/>
              </w:rPr>
            </w:pPr>
            <w:r w:rsidRPr="00587F7A">
              <w:rPr>
                <w:rFonts w:ascii="Arial" w:eastAsia="微軟正黑體" w:hAnsi="Arial" w:hint="eastAsia"/>
                <w:szCs w:val="24"/>
              </w:rPr>
              <w:t>Col</w:t>
            </w:r>
            <w:r w:rsidR="00D80FCF" w:rsidRPr="00587F7A">
              <w:rPr>
                <w:rFonts w:ascii="Arial" w:eastAsia="微軟正黑體" w:hAnsi="Arial" w:hint="eastAsia"/>
                <w:szCs w:val="24"/>
              </w:rPr>
              <w:t>.</w:t>
            </w:r>
            <w:r w:rsidRPr="00587F7A">
              <w:rPr>
                <w:rFonts w:ascii="Arial" w:eastAsia="微軟正黑體" w:hAnsi="Arial" w:hint="eastAsia"/>
                <w:szCs w:val="24"/>
              </w:rPr>
              <w:t>13</w:t>
            </w:r>
            <w:r w:rsidR="000F7C3B" w:rsidRPr="00587F7A">
              <w:rPr>
                <w:rFonts w:ascii="Arial" w:eastAsia="微軟正黑體" w:hAnsi="Arial" w:hint="eastAsia"/>
                <w:szCs w:val="24"/>
              </w:rPr>
              <w:t xml:space="preserve"> (</w:t>
            </w:r>
            <w:r w:rsidR="000F7C3B" w:rsidRPr="00587F7A">
              <w:rPr>
                <w:rFonts w:ascii="Arial" w:eastAsia="微軟正黑體" w:hAnsi="Arial"/>
                <w:szCs w:val="24"/>
              </w:rPr>
              <w:t>Crude Oil &amp; Petroleum Products</w:t>
            </w:r>
            <w:r w:rsidR="000F7C3B" w:rsidRPr="00587F7A">
              <w:rPr>
                <w:rFonts w:ascii="Arial" w:eastAsia="微軟正黑體" w:hAnsi="Arial" w:hint="eastAsia"/>
                <w:szCs w:val="24"/>
              </w:rPr>
              <w:t>)</w:t>
            </w:r>
          </w:p>
        </w:tc>
      </w:tr>
      <w:tr w:rsidR="006F7470" w:rsidRPr="00587F7A" w14:paraId="6890316B" w14:textId="77777777" w:rsidTr="00FB425A">
        <w:tc>
          <w:tcPr>
            <w:tcW w:w="9044" w:type="dxa"/>
            <w:tcBorders>
              <w:top w:val="nil"/>
              <w:left w:val="single" w:sz="4" w:space="0" w:color="auto"/>
              <w:bottom w:val="nil"/>
              <w:right w:val="single" w:sz="4" w:space="0" w:color="auto"/>
            </w:tcBorders>
            <w:hideMark/>
          </w:tcPr>
          <w:p w14:paraId="751CAFC6" w14:textId="77777777" w:rsidR="00EA1299" w:rsidRPr="00587F7A" w:rsidRDefault="00EA1299" w:rsidP="00FB425A">
            <w:pPr>
              <w:pStyle w:val="a9"/>
              <w:overflowPunct w:val="0"/>
              <w:spacing w:line="340" w:lineRule="exact"/>
              <w:ind w:leftChars="150" w:left="360"/>
              <w:rPr>
                <w:rFonts w:ascii="Arial" w:eastAsia="微軟正黑體" w:hAnsi="Arial"/>
                <w:szCs w:val="24"/>
              </w:rPr>
            </w:pPr>
            <w:r w:rsidRPr="00587F7A">
              <w:rPr>
                <w:rFonts w:ascii="Arial" w:eastAsia="微軟正黑體" w:hAnsi="Arial" w:hint="eastAsia"/>
                <w:szCs w:val="24"/>
              </w:rPr>
              <w:t>＝</w:t>
            </w:r>
            <w:r w:rsidR="00D80FCF" w:rsidRPr="00587F7A">
              <w:rPr>
                <w:rFonts w:ascii="Arial" w:eastAsia="微軟正黑體" w:hAnsi="Arial" w:hint="eastAsia"/>
                <w:szCs w:val="24"/>
              </w:rPr>
              <w:t>Col.14 (Crude Oil)</w:t>
            </w:r>
            <w:r w:rsidR="00D80FCF" w:rsidRPr="00587F7A">
              <w:rPr>
                <w:rFonts w:ascii="Arial" w:eastAsia="微軟正黑體" w:hAnsi="Arial" w:hint="eastAsia"/>
                <w:szCs w:val="24"/>
              </w:rPr>
              <w:t>＋</w:t>
            </w:r>
            <w:r w:rsidR="00D80FCF" w:rsidRPr="00587F7A">
              <w:rPr>
                <w:rFonts w:ascii="Arial" w:eastAsia="微軟正黑體" w:hAnsi="Arial" w:hint="eastAsia"/>
                <w:szCs w:val="24"/>
              </w:rPr>
              <w:t>Col.15 (Refinery Feedstocks)</w:t>
            </w:r>
            <w:r w:rsidR="00D80FCF" w:rsidRPr="00587F7A">
              <w:rPr>
                <w:rFonts w:ascii="Arial" w:eastAsia="微軟正黑體" w:hAnsi="Arial" w:hint="eastAsia"/>
                <w:szCs w:val="24"/>
              </w:rPr>
              <w:t>＋</w:t>
            </w:r>
            <w:r w:rsidR="00D80FCF" w:rsidRPr="00587F7A">
              <w:rPr>
                <w:rFonts w:ascii="Arial" w:eastAsia="微軟正黑體" w:hAnsi="Arial" w:hint="eastAsia"/>
                <w:szCs w:val="24"/>
              </w:rPr>
              <w:t xml:space="preserve">Col.16 </w:t>
            </w:r>
            <w:r w:rsidR="00D80FCF" w:rsidRPr="00587F7A">
              <w:rPr>
                <w:rFonts w:ascii="Arial" w:eastAsia="微軟正黑體" w:hAnsi="Arial" w:hint="eastAsia"/>
                <w:szCs w:val="24"/>
              </w:rPr>
              <w:lastRenderedPageBreak/>
              <w:t>(Additives/Oxygenates)</w:t>
            </w:r>
            <w:r w:rsidR="00D80FCF" w:rsidRPr="00587F7A">
              <w:rPr>
                <w:rFonts w:ascii="Arial" w:eastAsia="微軟正黑體" w:hAnsi="Arial" w:hint="eastAsia"/>
                <w:szCs w:val="24"/>
              </w:rPr>
              <w:t>＋</w:t>
            </w:r>
            <w:r w:rsidR="00D80FCF" w:rsidRPr="00587F7A">
              <w:rPr>
                <w:rFonts w:ascii="Arial" w:eastAsia="微軟正黑體" w:hAnsi="Arial" w:hint="eastAsia"/>
                <w:szCs w:val="24"/>
              </w:rPr>
              <w:t>Col.17 (Refinery Gas)</w:t>
            </w:r>
            <w:r w:rsidR="00D80FCF" w:rsidRPr="00587F7A">
              <w:rPr>
                <w:rFonts w:ascii="Arial" w:eastAsia="微軟正黑體" w:hAnsi="Arial" w:hint="eastAsia"/>
                <w:szCs w:val="24"/>
              </w:rPr>
              <w:t>＋</w:t>
            </w:r>
            <w:r w:rsidR="00D80FCF" w:rsidRPr="00587F7A">
              <w:rPr>
                <w:rFonts w:ascii="Arial" w:eastAsia="微軟正黑體" w:hAnsi="Arial" w:hint="eastAsia"/>
                <w:szCs w:val="24"/>
              </w:rPr>
              <w:t>Col.18 (LPG)</w:t>
            </w:r>
            <w:r w:rsidR="00D80FCF" w:rsidRPr="00587F7A">
              <w:rPr>
                <w:rFonts w:ascii="Arial" w:eastAsia="微軟正黑體" w:hAnsi="Arial" w:hint="eastAsia"/>
                <w:szCs w:val="24"/>
              </w:rPr>
              <w:t>＋</w:t>
            </w:r>
            <w:r w:rsidR="00D80FCF" w:rsidRPr="00587F7A">
              <w:rPr>
                <w:rFonts w:ascii="Arial" w:eastAsia="微軟正黑體" w:hAnsi="Arial" w:hint="eastAsia"/>
                <w:szCs w:val="24"/>
              </w:rPr>
              <w:t>Col.20 (Natural Gasoline)</w:t>
            </w:r>
            <w:r w:rsidR="00D80FCF" w:rsidRPr="00587F7A">
              <w:rPr>
                <w:rFonts w:ascii="Arial" w:eastAsia="微軟正黑體" w:hAnsi="Arial" w:hint="eastAsia"/>
                <w:szCs w:val="24"/>
              </w:rPr>
              <w:t>＋</w:t>
            </w:r>
            <w:r w:rsidR="00D80FCF" w:rsidRPr="00587F7A">
              <w:rPr>
                <w:rFonts w:ascii="Arial" w:eastAsia="微軟正黑體" w:hAnsi="Arial" w:hint="eastAsia"/>
                <w:szCs w:val="24"/>
              </w:rPr>
              <w:t>Col.21 (Naphtha)</w:t>
            </w:r>
            <w:r w:rsidR="00D80FCF" w:rsidRPr="00587F7A">
              <w:rPr>
                <w:rFonts w:ascii="Arial" w:eastAsia="微軟正黑體" w:hAnsi="Arial" w:hint="eastAsia"/>
                <w:szCs w:val="24"/>
              </w:rPr>
              <w:t>＋</w:t>
            </w:r>
            <w:r w:rsidR="00D80FCF" w:rsidRPr="00587F7A">
              <w:rPr>
                <w:rFonts w:ascii="Arial" w:eastAsia="微軟正黑體" w:hAnsi="Arial" w:hint="eastAsia"/>
                <w:szCs w:val="24"/>
              </w:rPr>
              <w:t>Col.22 (Motor Gasoline)</w:t>
            </w:r>
            <w:r w:rsidR="00D80FCF" w:rsidRPr="00587F7A">
              <w:rPr>
                <w:rFonts w:ascii="Arial" w:eastAsia="微軟正黑體" w:hAnsi="Arial" w:hint="eastAsia"/>
                <w:szCs w:val="24"/>
              </w:rPr>
              <w:t>＋</w:t>
            </w:r>
            <w:r w:rsidR="00D80FCF" w:rsidRPr="00587F7A">
              <w:rPr>
                <w:rFonts w:ascii="Arial" w:eastAsia="微軟正黑體" w:hAnsi="Arial" w:hint="eastAsia"/>
                <w:szCs w:val="24"/>
              </w:rPr>
              <w:t>Col.24 (Aviation Gasoline)</w:t>
            </w:r>
            <w:r w:rsidR="00D80FCF" w:rsidRPr="00587F7A">
              <w:rPr>
                <w:rFonts w:ascii="Arial" w:eastAsia="微軟正黑體" w:hAnsi="Arial" w:hint="eastAsia"/>
                <w:szCs w:val="24"/>
              </w:rPr>
              <w:t>＋</w:t>
            </w:r>
            <w:r w:rsidR="00D80FCF" w:rsidRPr="00587F7A">
              <w:rPr>
                <w:rFonts w:ascii="Arial" w:eastAsia="微軟正黑體" w:hAnsi="Arial" w:hint="eastAsia"/>
                <w:szCs w:val="24"/>
              </w:rPr>
              <w:t>Col.25 (Jet Fuel-Gasoline Type)</w:t>
            </w:r>
            <w:r w:rsidR="00D80FCF" w:rsidRPr="00587F7A">
              <w:rPr>
                <w:rFonts w:ascii="Arial" w:eastAsia="微軟正黑體" w:hAnsi="Arial" w:hint="eastAsia"/>
                <w:szCs w:val="24"/>
              </w:rPr>
              <w:t>＋</w:t>
            </w:r>
            <w:r w:rsidR="00D80FCF" w:rsidRPr="00587F7A">
              <w:rPr>
                <w:rFonts w:ascii="Arial" w:eastAsia="微軟正黑體" w:hAnsi="Arial" w:hint="eastAsia"/>
                <w:szCs w:val="24"/>
              </w:rPr>
              <w:t>Col.26 (Jet Fuel-Kerosene Type)</w:t>
            </w:r>
            <w:r w:rsidR="00D80FCF" w:rsidRPr="00587F7A">
              <w:rPr>
                <w:rFonts w:ascii="Arial" w:eastAsia="微軟正黑體" w:hAnsi="Arial" w:hint="eastAsia"/>
                <w:szCs w:val="24"/>
              </w:rPr>
              <w:t>＋</w:t>
            </w:r>
            <w:r w:rsidR="00D80FCF" w:rsidRPr="00587F7A">
              <w:rPr>
                <w:rFonts w:ascii="Arial" w:eastAsia="微軟正黑體" w:hAnsi="Arial" w:hint="eastAsia"/>
                <w:szCs w:val="24"/>
              </w:rPr>
              <w:t>Col.27 (Kerosene)</w:t>
            </w:r>
            <w:r w:rsidR="00D80FCF" w:rsidRPr="00587F7A">
              <w:rPr>
                <w:rFonts w:ascii="Arial" w:eastAsia="微軟正黑體" w:hAnsi="Arial" w:hint="eastAsia"/>
                <w:szCs w:val="24"/>
              </w:rPr>
              <w:t>＋</w:t>
            </w:r>
            <w:r w:rsidR="00D80FCF" w:rsidRPr="00587F7A">
              <w:rPr>
                <w:rFonts w:ascii="Arial" w:eastAsia="微軟正黑體" w:hAnsi="Arial" w:hint="eastAsia"/>
                <w:szCs w:val="24"/>
              </w:rPr>
              <w:t>Col.28 (Diesel Oil)</w:t>
            </w:r>
            <w:r w:rsidR="00D80FCF" w:rsidRPr="00587F7A">
              <w:rPr>
                <w:rFonts w:ascii="Arial" w:eastAsia="微軟正黑體" w:hAnsi="Arial" w:hint="eastAsia"/>
                <w:szCs w:val="24"/>
              </w:rPr>
              <w:t>＋</w:t>
            </w:r>
            <w:r w:rsidR="00D80FCF" w:rsidRPr="00587F7A">
              <w:rPr>
                <w:rFonts w:ascii="Arial" w:eastAsia="微軟正黑體" w:hAnsi="Arial" w:hint="eastAsia"/>
                <w:szCs w:val="24"/>
              </w:rPr>
              <w:t>Col.29 (Fuel Oil)</w:t>
            </w:r>
            <w:r w:rsidR="00D80FCF" w:rsidRPr="00587F7A">
              <w:rPr>
                <w:rFonts w:ascii="Arial" w:eastAsia="微軟正黑體" w:hAnsi="Arial" w:hint="eastAsia"/>
                <w:szCs w:val="24"/>
              </w:rPr>
              <w:t>＋</w:t>
            </w:r>
            <w:r w:rsidR="00D80FCF" w:rsidRPr="00587F7A">
              <w:rPr>
                <w:rFonts w:ascii="Arial" w:eastAsia="微軟正黑體" w:hAnsi="Arial" w:hint="eastAsia"/>
                <w:szCs w:val="24"/>
              </w:rPr>
              <w:t>Col.30 (White Spirits)</w:t>
            </w:r>
            <w:r w:rsidR="00D80FCF" w:rsidRPr="00587F7A">
              <w:rPr>
                <w:rFonts w:ascii="Arial" w:eastAsia="微軟正黑體" w:hAnsi="Arial" w:hint="eastAsia"/>
                <w:szCs w:val="24"/>
              </w:rPr>
              <w:t>＋</w:t>
            </w:r>
            <w:r w:rsidR="00D80FCF" w:rsidRPr="00587F7A">
              <w:rPr>
                <w:rFonts w:ascii="Arial" w:eastAsia="微軟正黑體" w:hAnsi="Arial" w:hint="eastAsia"/>
                <w:szCs w:val="24"/>
              </w:rPr>
              <w:t>Col.31 (Lubricants)</w:t>
            </w:r>
            <w:r w:rsidR="00D80FCF" w:rsidRPr="00587F7A">
              <w:rPr>
                <w:rFonts w:ascii="Arial" w:eastAsia="微軟正黑體" w:hAnsi="Arial" w:hint="eastAsia"/>
                <w:szCs w:val="24"/>
              </w:rPr>
              <w:t>＋</w:t>
            </w:r>
            <w:r w:rsidR="00D80FCF" w:rsidRPr="00587F7A">
              <w:rPr>
                <w:rFonts w:ascii="Arial" w:eastAsia="微軟正黑體" w:hAnsi="Arial" w:hint="eastAsia"/>
                <w:szCs w:val="24"/>
              </w:rPr>
              <w:t>Col.32 (Asphalts)</w:t>
            </w:r>
            <w:r w:rsidR="00D80FCF" w:rsidRPr="00587F7A">
              <w:rPr>
                <w:rFonts w:ascii="Arial" w:eastAsia="微軟正黑體" w:hAnsi="Arial" w:hint="eastAsia"/>
                <w:szCs w:val="24"/>
              </w:rPr>
              <w:t>＋</w:t>
            </w:r>
            <w:r w:rsidR="00D80FCF" w:rsidRPr="00587F7A">
              <w:rPr>
                <w:rFonts w:ascii="Arial" w:eastAsia="微軟正黑體" w:hAnsi="Arial" w:hint="eastAsia"/>
                <w:szCs w:val="24"/>
              </w:rPr>
              <w:t>Col.33 (Solvents)</w:t>
            </w:r>
            <w:r w:rsidR="00D80FCF" w:rsidRPr="00587F7A">
              <w:rPr>
                <w:rFonts w:ascii="Arial" w:eastAsia="微軟正黑體" w:hAnsi="Arial" w:hint="eastAsia"/>
                <w:szCs w:val="24"/>
              </w:rPr>
              <w:t>＋</w:t>
            </w:r>
            <w:r w:rsidR="00D80FCF" w:rsidRPr="00587F7A">
              <w:rPr>
                <w:rFonts w:ascii="Arial" w:eastAsia="微軟正黑體" w:hAnsi="Arial" w:hint="eastAsia"/>
                <w:szCs w:val="24"/>
              </w:rPr>
              <w:t>Col.34 (Paraffin Waxes)</w:t>
            </w:r>
            <w:r w:rsidR="00D80FCF" w:rsidRPr="00587F7A">
              <w:rPr>
                <w:rFonts w:ascii="Arial" w:eastAsia="微軟正黑體" w:hAnsi="Arial" w:hint="eastAsia"/>
                <w:szCs w:val="24"/>
              </w:rPr>
              <w:t>＋</w:t>
            </w:r>
            <w:r w:rsidR="00D80FCF" w:rsidRPr="00587F7A">
              <w:rPr>
                <w:rFonts w:ascii="Arial" w:eastAsia="微軟正黑體" w:hAnsi="Arial" w:hint="eastAsia"/>
                <w:szCs w:val="24"/>
              </w:rPr>
              <w:t>Col.35 (Petroleum Coke)</w:t>
            </w:r>
            <w:r w:rsidR="00D80FCF" w:rsidRPr="00587F7A">
              <w:rPr>
                <w:rFonts w:ascii="Arial" w:eastAsia="微軟正黑體" w:hAnsi="Arial" w:hint="eastAsia"/>
                <w:szCs w:val="24"/>
              </w:rPr>
              <w:t>＋</w:t>
            </w:r>
            <w:r w:rsidR="00D80FCF" w:rsidRPr="00587F7A">
              <w:rPr>
                <w:rFonts w:ascii="Arial" w:eastAsia="微軟正黑體" w:hAnsi="Arial" w:hint="eastAsia"/>
                <w:szCs w:val="24"/>
              </w:rPr>
              <w:t xml:space="preserve">Col.36 </w:t>
            </w:r>
            <w:r w:rsidR="00D80FCF" w:rsidRPr="00587F7A">
              <w:rPr>
                <w:rFonts w:ascii="Arial" w:eastAsia="微軟正黑體" w:hAnsi="Arial" w:hint="eastAsia"/>
                <w:szCs w:val="24"/>
                <w:u w:val="single"/>
              </w:rPr>
              <w:t xml:space="preserve">(Other Petroleum </w:t>
            </w:r>
            <w:proofErr w:type="gramStart"/>
            <w:r w:rsidR="00D80FCF" w:rsidRPr="00587F7A">
              <w:rPr>
                <w:rFonts w:ascii="Arial" w:eastAsia="微軟正黑體" w:hAnsi="Arial"/>
                <w:szCs w:val="24"/>
                <w:u w:val="single"/>
              </w:rPr>
              <w:t xml:space="preserve">Products)  </w:t>
            </w:r>
            <w:r w:rsidRPr="00587F7A">
              <w:rPr>
                <w:rFonts w:ascii="Arial" w:eastAsia="微軟正黑體" w:hAnsi="Arial" w:hint="eastAsia"/>
                <w:szCs w:val="24"/>
                <w:u w:val="single"/>
              </w:rPr>
              <w:t xml:space="preserve"> </w:t>
            </w:r>
            <w:proofErr w:type="gramEnd"/>
            <w:r w:rsidRPr="00587F7A">
              <w:rPr>
                <w:rFonts w:ascii="Arial" w:eastAsia="微軟正黑體" w:hAnsi="Arial" w:hint="eastAsia"/>
                <w:szCs w:val="24"/>
                <w:u w:val="single"/>
              </w:rPr>
              <w:t xml:space="preserve">           </w:t>
            </w:r>
            <w:r w:rsidR="00D80FCF" w:rsidRPr="00587F7A">
              <w:rPr>
                <w:rFonts w:ascii="Arial" w:eastAsia="微軟正黑體" w:hAnsi="Arial" w:hint="eastAsia"/>
                <w:szCs w:val="24"/>
                <w:u w:val="single"/>
              </w:rPr>
              <w:t xml:space="preserve">                              </w:t>
            </w:r>
          </w:p>
        </w:tc>
      </w:tr>
      <w:tr w:rsidR="006F7470" w:rsidRPr="00587F7A" w14:paraId="0B83D383" w14:textId="77777777" w:rsidTr="00FB425A">
        <w:tc>
          <w:tcPr>
            <w:tcW w:w="9044" w:type="dxa"/>
            <w:tcBorders>
              <w:top w:val="nil"/>
              <w:left w:val="single" w:sz="4" w:space="0" w:color="auto"/>
              <w:bottom w:val="single" w:sz="4" w:space="0" w:color="auto"/>
              <w:right w:val="single" w:sz="4" w:space="0" w:color="auto"/>
            </w:tcBorders>
            <w:hideMark/>
          </w:tcPr>
          <w:p w14:paraId="7EC4C4B0" w14:textId="77777777" w:rsidR="00D80FCF"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lastRenderedPageBreak/>
              <w:t>(1) Col.19 (Propane Air, PA): Consumption of PA is included in Col.18 (LPG).  This column is for reference only.</w:t>
            </w:r>
          </w:p>
          <w:p w14:paraId="5DBA8694" w14:textId="77777777" w:rsidR="00D80FCF"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Col.23 (Unleaded Gasoline): Consumption of unleaded gasoline is included in Col.22 (Motor Gasoline) and is intended for reference only.</w:t>
            </w:r>
          </w:p>
          <w:p w14:paraId="57C9B24F" w14:textId="77777777" w:rsidR="00D80FCF"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(3) Columns of refinery feedstocks, additives/oxygenates, white spirits, and paraffin waxes, are new columns in new format and need to be improved in terms of completeness and accuracy.  </w:t>
            </w:r>
          </w:p>
          <w:p w14:paraId="6FCA52AB" w14:textId="77777777" w:rsidR="00D80FCF"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(4) The definition of naphtha varied in previous years. It might mean intermediate products or final products. It indicates final products in recent years. </w:t>
            </w:r>
          </w:p>
          <w:p w14:paraId="3FD25F62" w14:textId="77777777" w:rsidR="00D80FCF"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(5) The jet fuel is split into gasoline type and kerosene type; columns of olefins and aromatics, which are the basic petrochemical materials rather than energy products, are removed and are not shown in the new format anymore.</w:t>
            </w:r>
          </w:p>
          <w:p w14:paraId="04A216C9" w14:textId="77777777" w:rsidR="00D80FCF"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(6) Some of the figures of the lubricants and other petroleum products are estimates due to different definitions by different companies.</w:t>
            </w:r>
          </w:p>
          <w:p w14:paraId="5950CAE0" w14:textId="77777777" w:rsidR="00EA1299" w:rsidRPr="00587F7A" w:rsidRDefault="00D80FCF"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(7) Inter</w:t>
            </w:r>
            <w:r w:rsidR="00A41E30" w:rsidRPr="00587F7A">
              <w:rPr>
                <w:rFonts w:ascii="Arial" w:eastAsia="微軟正黑體" w:hAnsi="Arial"/>
                <w:szCs w:val="24"/>
              </w:rPr>
              <w:t>-</w:t>
            </w:r>
            <w:r w:rsidRPr="00587F7A">
              <w:rPr>
                <w:rFonts w:ascii="Arial" w:eastAsia="微軟正黑體" w:hAnsi="Arial"/>
                <w:szCs w:val="24"/>
              </w:rPr>
              <w:t>product transfer of oil products is the quantity for reprocessing or transfer. Hence, that of naphtha is the amount for reformate gasoline: that of diesel oil is the amount transferred to LPG, and other gas oil (FCC); that of fuel oil is for LPG, gasoline, diesel oil, and others (ROC, RFCC).</w:t>
            </w:r>
          </w:p>
        </w:tc>
      </w:tr>
      <w:tr w:rsidR="006F7470" w:rsidRPr="00587F7A" w14:paraId="25A6A499" w14:textId="77777777" w:rsidTr="00FB425A">
        <w:tc>
          <w:tcPr>
            <w:tcW w:w="9044" w:type="dxa"/>
            <w:tcBorders>
              <w:top w:val="single" w:sz="4" w:space="0" w:color="auto"/>
              <w:left w:val="single" w:sz="4" w:space="0" w:color="auto"/>
              <w:bottom w:val="nil"/>
              <w:right w:val="single" w:sz="4" w:space="0" w:color="auto"/>
            </w:tcBorders>
            <w:hideMark/>
          </w:tcPr>
          <w:p w14:paraId="5B55FDCA" w14:textId="77777777" w:rsidR="00EA1299" w:rsidRPr="00587F7A" w:rsidRDefault="00EA1299" w:rsidP="00FB425A">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t xml:space="preserve">3. </w:t>
            </w:r>
            <w:r w:rsidR="008B61DA" w:rsidRPr="00587F7A">
              <w:rPr>
                <w:rFonts w:ascii="Arial" w:eastAsia="微軟正黑體" w:hAnsi="Arial"/>
                <w:b/>
                <w:bCs/>
                <w:szCs w:val="24"/>
              </w:rPr>
              <w:t>Natural Gas</w:t>
            </w:r>
          </w:p>
          <w:p w14:paraId="0CF606E0" w14:textId="77777777" w:rsidR="008B61DA" w:rsidRPr="00587F7A" w:rsidRDefault="008B61DA" w:rsidP="00FB425A">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Col.37 (Natural Gas Total)</w:t>
            </w:r>
          </w:p>
          <w:p w14:paraId="557286B5" w14:textId="77777777" w:rsidR="00EA1299" w:rsidRPr="00587F7A" w:rsidRDefault="008B61DA" w:rsidP="00FB425A">
            <w:pPr>
              <w:pStyle w:val="a9"/>
              <w:overflowPunct w:val="0"/>
              <w:spacing w:line="340" w:lineRule="exact"/>
              <w:ind w:leftChars="150" w:left="360"/>
              <w:rPr>
                <w:rFonts w:ascii="Arial" w:eastAsia="微軟正黑體" w:hAnsi="Arial"/>
                <w:szCs w:val="24"/>
                <w:u w:val="single"/>
              </w:rPr>
            </w:pPr>
            <w:r w:rsidRPr="00587F7A">
              <w:rPr>
                <w:rFonts w:ascii="Arial" w:eastAsia="微軟正黑體" w:hAnsi="Arial"/>
                <w:szCs w:val="24"/>
                <w:u w:val="single"/>
              </w:rPr>
              <w:t xml:space="preserve">= Col.38 (Indigenous Natural Gas) + Col.39 (Imported </w:t>
            </w:r>
            <w:proofErr w:type="gramStart"/>
            <w:r w:rsidRPr="00587F7A">
              <w:rPr>
                <w:rFonts w:ascii="Arial" w:eastAsia="微軟正黑體" w:hAnsi="Arial"/>
                <w:szCs w:val="24"/>
                <w:u w:val="single"/>
              </w:rPr>
              <w:t>LNG)</w:t>
            </w:r>
            <w:r w:rsidR="00EA1299" w:rsidRPr="00587F7A">
              <w:rPr>
                <w:rFonts w:ascii="Arial" w:eastAsia="微軟正黑體" w:hAnsi="Arial" w:hint="eastAsia"/>
                <w:szCs w:val="24"/>
                <w:u w:val="single"/>
              </w:rPr>
              <w:t xml:space="preserve">   </w:t>
            </w:r>
            <w:proofErr w:type="gramEnd"/>
            <w:r w:rsidR="00EA1299" w:rsidRPr="00587F7A">
              <w:rPr>
                <w:rFonts w:ascii="Arial" w:eastAsia="微軟正黑體" w:hAnsi="Arial" w:hint="eastAsia"/>
                <w:szCs w:val="24"/>
                <w:u w:val="single"/>
              </w:rPr>
              <w:t xml:space="preserve">                    </w:t>
            </w:r>
          </w:p>
        </w:tc>
      </w:tr>
      <w:tr w:rsidR="006F7470" w:rsidRPr="00587F7A" w14:paraId="03B8B976" w14:textId="77777777" w:rsidTr="00FB425A">
        <w:tc>
          <w:tcPr>
            <w:tcW w:w="9044" w:type="dxa"/>
            <w:tcBorders>
              <w:top w:val="nil"/>
              <w:left w:val="single" w:sz="4" w:space="0" w:color="auto"/>
              <w:bottom w:val="single" w:sz="4" w:space="0" w:color="auto"/>
              <w:right w:val="single" w:sz="4" w:space="0" w:color="auto"/>
            </w:tcBorders>
            <w:hideMark/>
          </w:tcPr>
          <w:p w14:paraId="05054911" w14:textId="77777777" w:rsidR="008B61DA" w:rsidRPr="00587F7A" w:rsidRDefault="00EA1299" w:rsidP="008B61DA">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w:t>
            </w:r>
            <w:r w:rsidR="008B61DA" w:rsidRPr="00587F7A">
              <w:rPr>
                <w:rFonts w:ascii="Arial" w:eastAsia="微軟正黑體" w:hAnsi="Arial"/>
                <w:szCs w:val="24"/>
              </w:rPr>
              <w:t>Natural gas has two origins: Indigenous natural gas and imported LNG with heating values 8,000 Kcal/cubic meter and 9,000 kcal/cubic meters (net heating value), respectively; they are dubbed NG (1) and NG (2) at retail side. A significant portion of NG (1) is the re-gasified part of the LNG with the heating value reduced to 8,000 kcal/cubic meter as the indigenous natural gas, and is shown as the transfers (output) of (indigenous) natural gas.</w:t>
            </w:r>
          </w:p>
          <w:p w14:paraId="36D0CF98" w14:textId="77777777" w:rsidR="00EA1299" w:rsidRPr="00587F7A" w:rsidRDefault="008B61DA" w:rsidP="00FE7DD5">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hint="eastAsia"/>
                <w:szCs w:val="24"/>
              </w:rPr>
              <w:t xml:space="preserve"> </w:t>
            </w:r>
            <w:r w:rsidRPr="00587F7A">
              <w:rPr>
                <w:rFonts w:ascii="Arial" w:eastAsia="微軟正黑體" w:hAnsi="Arial"/>
                <w:szCs w:val="24"/>
              </w:rPr>
              <w:t>Since LNG outnumbers the indigenous natural gas year by year, the summation of indigenous natural gas and imported LNG is measured in metric ton with indigenous natural gas converted from volume to weight by its heat content equivalent to the imported LNG.</w:t>
            </w:r>
          </w:p>
        </w:tc>
      </w:tr>
      <w:tr w:rsidR="006F7470" w:rsidRPr="00587F7A" w14:paraId="273076E1" w14:textId="77777777" w:rsidTr="00FB425A">
        <w:tc>
          <w:tcPr>
            <w:tcW w:w="9044" w:type="dxa"/>
            <w:tcBorders>
              <w:top w:val="single" w:sz="4" w:space="0" w:color="auto"/>
              <w:left w:val="single" w:sz="4" w:space="0" w:color="auto"/>
              <w:bottom w:val="nil"/>
              <w:right w:val="single" w:sz="4" w:space="0" w:color="auto"/>
            </w:tcBorders>
            <w:hideMark/>
          </w:tcPr>
          <w:p w14:paraId="60AFA308" w14:textId="77777777" w:rsidR="00EA1299" w:rsidRPr="00587F7A" w:rsidRDefault="00EA1299" w:rsidP="00FB425A">
            <w:pPr>
              <w:pStyle w:val="a9"/>
              <w:overflowPunct w:val="0"/>
              <w:spacing w:line="340" w:lineRule="exact"/>
              <w:ind w:left="2880" w:hangingChars="1200" w:hanging="2880"/>
              <w:rPr>
                <w:rFonts w:ascii="Arial" w:eastAsia="微軟正黑體" w:hAnsi="Arial"/>
                <w:b/>
                <w:bCs/>
                <w:szCs w:val="24"/>
              </w:rPr>
            </w:pPr>
            <w:r w:rsidRPr="00587F7A">
              <w:rPr>
                <w:rFonts w:ascii="Arial" w:eastAsia="微軟正黑體" w:hAnsi="Arial" w:hint="eastAsia"/>
                <w:b/>
                <w:bCs/>
                <w:szCs w:val="24"/>
              </w:rPr>
              <w:t xml:space="preserve">4. </w:t>
            </w:r>
            <w:r w:rsidR="008B0479" w:rsidRPr="00587F7A">
              <w:rPr>
                <w:rFonts w:ascii="Arial" w:eastAsia="微軟正黑體" w:hAnsi="Arial"/>
                <w:b/>
                <w:bCs/>
                <w:szCs w:val="24"/>
              </w:rPr>
              <w:t>Biomass and Waste</w:t>
            </w:r>
          </w:p>
          <w:p w14:paraId="4D0E4877" w14:textId="77777777" w:rsidR="008B0479" w:rsidRPr="00587F7A" w:rsidRDefault="008B0479" w:rsidP="00FB425A">
            <w:pPr>
              <w:pStyle w:val="a9"/>
              <w:overflowPunct w:val="0"/>
              <w:spacing w:line="340" w:lineRule="exact"/>
              <w:ind w:leftChars="150" w:left="3240" w:hangingChars="1200" w:hanging="2880"/>
              <w:rPr>
                <w:rFonts w:ascii="Arial" w:eastAsia="微軟正黑體" w:hAnsi="Arial"/>
                <w:szCs w:val="24"/>
              </w:rPr>
            </w:pPr>
            <w:r w:rsidRPr="00587F7A">
              <w:rPr>
                <w:rFonts w:ascii="Arial" w:eastAsia="微軟正黑體" w:hAnsi="Arial" w:hint="eastAsia"/>
                <w:szCs w:val="24"/>
              </w:rPr>
              <w:t>Col.40 (Biomass and Waste)</w:t>
            </w:r>
          </w:p>
          <w:p w14:paraId="37FEDFE9" w14:textId="77777777" w:rsidR="00EA1299" w:rsidRPr="00587F7A" w:rsidRDefault="008B0479" w:rsidP="00FB425A">
            <w:pPr>
              <w:pStyle w:val="a9"/>
              <w:overflowPunct w:val="0"/>
              <w:spacing w:line="340" w:lineRule="exact"/>
              <w:ind w:leftChars="150" w:left="3240" w:hangingChars="1200" w:hanging="2880"/>
              <w:rPr>
                <w:rFonts w:ascii="Arial" w:eastAsia="微軟正黑體" w:hAnsi="Arial"/>
                <w:szCs w:val="24"/>
              </w:rPr>
            </w:pPr>
            <w:r w:rsidRPr="00587F7A">
              <w:rPr>
                <w:rFonts w:ascii="Arial" w:eastAsia="微軟正黑體" w:hAnsi="Arial" w:hint="eastAsia"/>
                <w:szCs w:val="24"/>
              </w:rPr>
              <w:t>＝</w:t>
            </w:r>
            <w:r w:rsidRPr="00587F7A">
              <w:rPr>
                <w:rFonts w:ascii="Arial" w:eastAsia="微軟正黑體" w:hAnsi="Arial" w:hint="eastAsia"/>
                <w:szCs w:val="24"/>
              </w:rPr>
              <w:t>Col.41 (Biomass)</w:t>
            </w:r>
            <w:r w:rsidRPr="00587F7A">
              <w:rPr>
                <w:rFonts w:ascii="Arial" w:eastAsia="微軟正黑體" w:hAnsi="Arial" w:hint="eastAsia"/>
                <w:szCs w:val="24"/>
              </w:rPr>
              <w:t>＋</w:t>
            </w:r>
            <w:r w:rsidRPr="00587F7A">
              <w:rPr>
                <w:rFonts w:ascii="Arial" w:eastAsia="微軟正黑體" w:hAnsi="Arial" w:hint="eastAsia"/>
                <w:szCs w:val="24"/>
              </w:rPr>
              <w:t>Col.45 (Waste)</w:t>
            </w:r>
          </w:p>
          <w:p w14:paraId="47E0CFF3" w14:textId="77777777" w:rsidR="008B0479" w:rsidRPr="00587F7A" w:rsidRDefault="008B0479" w:rsidP="00FB425A">
            <w:pPr>
              <w:pStyle w:val="a9"/>
              <w:overflowPunct w:val="0"/>
              <w:spacing w:line="340" w:lineRule="exact"/>
              <w:ind w:leftChars="150" w:left="3240" w:hangingChars="1200" w:hanging="2880"/>
              <w:rPr>
                <w:rFonts w:ascii="Arial" w:eastAsia="微軟正黑體" w:hAnsi="Arial"/>
                <w:szCs w:val="24"/>
              </w:rPr>
            </w:pPr>
            <w:r w:rsidRPr="00587F7A">
              <w:rPr>
                <w:rFonts w:ascii="Arial" w:eastAsia="微軟正黑體" w:hAnsi="Arial" w:hint="eastAsia"/>
                <w:szCs w:val="24"/>
              </w:rPr>
              <w:t>Col.41 (Biomass)</w:t>
            </w:r>
          </w:p>
          <w:p w14:paraId="1696831C" w14:textId="77777777" w:rsidR="00EA1299" w:rsidRPr="00587F7A" w:rsidRDefault="008B0479" w:rsidP="00FB425A">
            <w:pPr>
              <w:pStyle w:val="a9"/>
              <w:overflowPunct w:val="0"/>
              <w:spacing w:line="340" w:lineRule="exact"/>
              <w:ind w:leftChars="150" w:left="3240" w:hangingChars="1200" w:hanging="2880"/>
              <w:rPr>
                <w:rFonts w:ascii="Arial" w:eastAsia="微軟正黑體" w:hAnsi="Arial"/>
                <w:szCs w:val="24"/>
                <w:u w:val="single"/>
              </w:rPr>
            </w:pPr>
            <w:r w:rsidRPr="00587F7A">
              <w:rPr>
                <w:rFonts w:ascii="Arial" w:eastAsia="微軟正黑體" w:hAnsi="Arial" w:hint="eastAsia"/>
                <w:szCs w:val="24"/>
                <w:u w:val="single"/>
              </w:rPr>
              <w:lastRenderedPageBreak/>
              <w:t>＝</w:t>
            </w:r>
            <w:r w:rsidRPr="00587F7A">
              <w:rPr>
                <w:rFonts w:ascii="Arial" w:eastAsia="微軟正黑體" w:hAnsi="Arial" w:hint="eastAsia"/>
                <w:szCs w:val="24"/>
                <w:u w:val="single"/>
              </w:rPr>
              <w:t>Col.42 (Solid Biomass)</w:t>
            </w:r>
            <w:r w:rsidRPr="00587F7A">
              <w:rPr>
                <w:rFonts w:ascii="Arial" w:eastAsia="微軟正黑體" w:hAnsi="Arial" w:hint="eastAsia"/>
                <w:szCs w:val="24"/>
                <w:u w:val="single"/>
              </w:rPr>
              <w:t>＋</w:t>
            </w:r>
            <w:r w:rsidRPr="00587F7A">
              <w:rPr>
                <w:rFonts w:ascii="Arial" w:eastAsia="微軟正黑體" w:hAnsi="Arial" w:hint="eastAsia"/>
                <w:szCs w:val="24"/>
                <w:u w:val="single"/>
              </w:rPr>
              <w:t>Col.43 (Liquid Biomass)</w:t>
            </w:r>
            <w:r w:rsidRPr="00587F7A">
              <w:rPr>
                <w:rFonts w:ascii="Arial" w:eastAsia="微軟正黑體" w:hAnsi="Arial" w:hint="eastAsia"/>
                <w:szCs w:val="24"/>
                <w:u w:val="single"/>
              </w:rPr>
              <w:t>＋</w:t>
            </w:r>
            <w:r w:rsidRPr="00587F7A">
              <w:rPr>
                <w:rFonts w:ascii="Arial" w:eastAsia="微軟正黑體" w:hAnsi="Arial" w:hint="eastAsia"/>
                <w:szCs w:val="24"/>
                <w:u w:val="single"/>
              </w:rPr>
              <w:t>Col.44 (</w:t>
            </w:r>
            <w:proofErr w:type="gramStart"/>
            <w:r w:rsidRPr="00587F7A">
              <w:rPr>
                <w:rFonts w:ascii="Arial" w:eastAsia="微軟正黑體" w:hAnsi="Arial" w:hint="eastAsia"/>
                <w:szCs w:val="24"/>
                <w:u w:val="single"/>
              </w:rPr>
              <w:t>Biogas)</w:t>
            </w:r>
            <w:r w:rsidR="00EA1299" w:rsidRPr="00587F7A">
              <w:rPr>
                <w:rFonts w:ascii="Arial" w:eastAsia="微軟正黑體" w:hAnsi="Arial" w:hint="eastAsia"/>
                <w:szCs w:val="24"/>
                <w:u w:val="single"/>
              </w:rPr>
              <w:t xml:space="preserve">   </w:t>
            </w:r>
            <w:proofErr w:type="gramEnd"/>
            <w:r w:rsidR="00EA1299" w:rsidRPr="00587F7A">
              <w:rPr>
                <w:rFonts w:ascii="Arial" w:eastAsia="微軟正黑體" w:hAnsi="Arial" w:hint="eastAsia"/>
                <w:szCs w:val="24"/>
                <w:u w:val="single"/>
              </w:rPr>
              <w:t xml:space="preserve">  </w:t>
            </w:r>
            <w:r w:rsidRPr="00587F7A">
              <w:rPr>
                <w:rFonts w:ascii="Arial" w:eastAsia="微軟正黑體" w:hAnsi="Arial" w:hint="eastAsia"/>
                <w:szCs w:val="24"/>
                <w:u w:val="single"/>
              </w:rPr>
              <w:t xml:space="preserve">   </w:t>
            </w:r>
          </w:p>
        </w:tc>
      </w:tr>
      <w:tr w:rsidR="006F7470" w:rsidRPr="00587F7A" w14:paraId="58DE02C3" w14:textId="77777777" w:rsidTr="00FB425A">
        <w:tc>
          <w:tcPr>
            <w:tcW w:w="9044" w:type="dxa"/>
            <w:tcBorders>
              <w:top w:val="nil"/>
              <w:left w:val="single" w:sz="4" w:space="0" w:color="auto"/>
              <w:bottom w:val="single" w:sz="4" w:space="0" w:color="auto"/>
              <w:right w:val="single" w:sz="4" w:space="0" w:color="auto"/>
            </w:tcBorders>
            <w:hideMark/>
          </w:tcPr>
          <w:p w14:paraId="094D67F0" w14:textId="77777777" w:rsidR="008B0479" w:rsidRPr="00587F7A" w:rsidRDefault="00EA1299" w:rsidP="008B0479">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lastRenderedPageBreak/>
              <w:t>(1)</w:t>
            </w:r>
            <w:r w:rsidR="008B0479" w:rsidRPr="00587F7A">
              <w:rPr>
                <w:rFonts w:ascii="Arial" w:eastAsia="微軟正黑體" w:hAnsi="Arial" w:hint="eastAsia"/>
                <w:szCs w:val="24"/>
              </w:rPr>
              <w:t xml:space="preserve"> </w:t>
            </w:r>
            <w:r w:rsidR="008B0479" w:rsidRPr="00587F7A">
              <w:rPr>
                <w:rFonts w:ascii="Arial" w:eastAsia="微軟正黑體" w:hAnsi="Arial"/>
                <w:szCs w:val="24"/>
              </w:rPr>
              <w:t>Solid biomass includes bagasse, black liquor, and rice husks, which are used as fuel in CHP plants.</w:t>
            </w:r>
          </w:p>
          <w:p w14:paraId="79991FA0" w14:textId="77777777" w:rsidR="008B0479" w:rsidRPr="00587F7A" w:rsidRDefault="008B0479" w:rsidP="008B0479">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hint="eastAsia"/>
                <w:szCs w:val="24"/>
              </w:rPr>
              <w:t xml:space="preserve"> </w:t>
            </w:r>
            <w:r w:rsidRPr="00587F7A">
              <w:rPr>
                <w:rFonts w:ascii="Arial" w:eastAsia="微軟正黑體" w:hAnsi="Arial"/>
                <w:szCs w:val="24"/>
              </w:rPr>
              <w:t>Liquid biomass includes biodiesel, bioethanol, and bio-fuel oil.</w:t>
            </w:r>
          </w:p>
          <w:p w14:paraId="025F3B3C" w14:textId="77777777" w:rsidR="008B0479" w:rsidRPr="00587F7A" w:rsidRDefault="008B0479" w:rsidP="008B0479">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w:t>
            </w:r>
            <w:r w:rsidRPr="00587F7A">
              <w:rPr>
                <w:rFonts w:ascii="Arial" w:eastAsia="微軟正黑體" w:hAnsi="Arial" w:hint="eastAsia"/>
                <w:szCs w:val="24"/>
              </w:rPr>
              <w:t xml:space="preserve"> </w:t>
            </w:r>
            <w:r w:rsidRPr="00587F7A">
              <w:rPr>
                <w:rFonts w:ascii="Arial" w:eastAsia="微軟正黑體" w:hAnsi="Arial"/>
                <w:szCs w:val="24"/>
              </w:rPr>
              <w:t>Biogas is formed by the digestion of landfilled and sewage waste, and used as fuel in CHP plants.</w:t>
            </w:r>
          </w:p>
          <w:p w14:paraId="1A7014E3" w14:textId="77777777" w:rsidR="00EA1299" w:rsidRPr="00587F7A" w:rsidRDefault="008B0479" w:rsidP="008B0479">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(4)</w:t>
            </w:r>
            <w:r w:rsidRPr="00587F7A">
              <w:rPr>
                <w:rFonts w:ascii="Arial" w:eastAsia="微軟正黑體" w:hAnsi="Arial" w:hint="eastAsia"/>
                <w:szCs w:val="24"/>
              </w:rPr>
              <w:t xml:space="preserve"> </w:t>
            </w:r>
            <w:r w:rsidRPr="00587F7A">
              <w:rPr>
                <w:rFonts w:ascii="Arial" w:eastAsia="微軟正黑體" w:hAnsi="Arial"/>
                <w:szCs w:val="24"/>
              </w:rPr>
              <w:t>Waste includes municipal solid waste and industrial waste, which are used as fuel in CHP plants.</w:t>
            </w:r>
          </w:p>
        </w:tc>
      </w:tr>
      <w:tr w:rsidR="006F7470" w:rsidRPr="00587F7A" w14:paraId="63696671" w14:textId="77777777" w:rsidTr="00FB425A">
        <w:trPr>
          <w:trHeight w:val="20"/>
        </w:trPr>
        <w:tc>
          <w:tcPr>
            <w:tcW w:w="9044" w:type="dxa"/>
            <w:tcBorders>
              <w:top w:val="single" w:sz="4" w:space="0" w:color="auto"/>
              <w:left w:val="single" w:sz="4" w:space="0" w:color="auto"/>
              <w:bottom w:val="nil"/>
              <w:right w:val="single" w:sz="4" w:space="0" w:color="auto"/>
            </w:tcBorders>
          </w:tcPr>
          <w:p w14:paraId="581CC975" w14:textId="77777777" w:rsidR="00EA1299" w:rsidRPr="00587F7A" w:rsidRDefault="00EA1299" w:rsidP="00FB425A">
            <w:pPr>
              <w:pStyle w:val="a9"/>
              <w:overflowPunct w:val="0"/>
              <w:spacing w:line="340" w:lineRule="exact"/>
              <w:ind w:left="432" w:hangingChars="180" w:hanging="432"/>
              <w:rPr>
                <w:rFonts w:ascii="Arial" w:eastAsia="微軟正黑體" w:hAnsi="Arial"/>
                <w:b/>
                <w:bCs/>
                <w:szCs w:val="24"/>
              </w:rPr>
            </w:pPr>
            <w:r w:rsidRPr="00587F7A">
              <w:rPr>
                <w:rFonts w:ascii="Arial" w:eastAsia="微軟正黑體" w:hAnsi="Arial" w:hint="eastAsia"/>
                <w:b/>
                <w:bCs/>
                <w:szCs w:val="24"/>
              </w:rPr>
              <w:t xml:space="preserve">5. </w:t>
            </w:r>
            <w:r w:rsidR="00A200FE" w:rsidRPr="00587F7A">
              <w:rPr>
                <w:rFonts w:ascii="Arial" w:eastAsia="微軟正黑體" w:hAnsi="Arial"/>
                <w:b/>
                <w:bCs/>
                <w:szCs w:val="24"/>
              </w:rPr>
              <w:t>Electricity</w:t>
            </w:r>
          </w:p>
        </w:tc>
      </w:tr>
      <w:tr w:rsidR="006F7470" w:rsidRPr="00587F7A" w14:paraId="45ED3DE3" w14:textId="77777777" w:rsidTr="00FB425A">
        <w:trPr>
          <w:trHeight w:val="20"/>
        </w:trPr>
        <w:tc>
          <w:tcPr>
            <w:tcW w:w="9044" w:type="dxa"/>
            <w:tcBorders>
              <w:top w:val="nil"/>
              <w:left w:val="single" w:sz="4" w:space="0" w:color="auto"/>
              <w:bottom w:val="single" w:sz="4" w:space="0" w:color="auto"/>
              <w:right w:val="single" w:sz="4" w:space="0" w:color="auto"/>
            </w:tcBorders>
            <w:hideMark/>
          </w:tcPr>
          <w:p w14:paraId="5D8BEE31" w14:textId="77777777" w:rsidR="00635A9F" w:rsidRPr="00587F7A" w:rsidRDefault="00635A9F" w:rsidP="00635A9F">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w:t>
            </w:r>
            <w:r w:rsidRPr="00587F7A">
              <w:rPr>
                <w:rFonts w:ascii="Arial" w:eastAsia="微軟正黑體" w:hAnsi="Arial" w:hint="eastAsia"/>
                <w:szCs w:val="24"/>
              </w:rPr>
              <w:t xml:space="preserve"> </w:t>
            </w:r>
            <w:r w:rsidRPr="00587F7A">
              <w:rPr>
                <w:rFonts w:ascii="Arial" w:eastAsia="微軟正黑體" w:hAnsi="Arial"/>
                <w:szCs w:val="24"/>
              </w:rPr>
              <w:t xml:space="preserve">In the latest revision, the calorific value of electricity adopted the physical energy content method (860 kcal/kWh) instead of partial substitution method. </w:t>
            </w:r>
          </w:p>
          <w:p w14:paraId="5C3DB247" w14:textId="77777777" w:rsidR="00EA1299" w:rsidRPr="00587F7A" w:rsidRDefault="00635A9F" w:rsidP="00635A9F">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hint="eastAsia"/>
                <w:szCs w:val="24"/>
              </w:rPr>
              <w:t xml:space="preserve"> </w:t>
            </w:r>
            <w:r w:rsidRPr="00587F7A">
              <w:rPr>
                <w:rFonts w:ascii="Arial" w:eastAsia="微軟正黑體" w:hAnsi="Arial"/>
                <w:szCs w:val="24"/>
              </w:rPr>
              <w:t>The primary electricity, including nuclear, hydro, geothermal, solar PV and wind, are presented independently. The column of electricity only records transformation output of electricity generation and its consumption.</w:t>
            </w:r>
          </w:p>
        </w:tc>
      </w:tr>
      <w:tr w:rsidR="006F7470" w:rsidRPr="00587F7A" w14:paraId="47BDB49F" w14:textId="77777777" w:rsidTr="00FB425A">
        <w:tc>
          <w:tcPr>
            <w:tcW w:w="9044" w:type="dxa"/>
            <w:tcBorders>
              <w:top w:val="single" w:sz="4" w:space="0" w:color="auto"/>
              <w:left w:val="single" w:sz="4" w:space="0" w:color="auto"/>
              <w:bottom w:val="single" w:sz="4" w:space="0" w:color="auto"/>
              <w:right w:val="single" w:sz="4" w:space="0" w:color="auto"/>
            </w:tcBorders>
            <w:hideMark/>
          </w:tcPr>
          <w:p w14:paraId="396BFD1D" w14:textId="77777777" w:rsidR="00EA1299" w:rsidRPr="00587F7A" w:rsidRDefault="00EA1299" w:rsidP="00FB425A">
            <w:pPr>
              <w:pStyle w:val="a9"/>
              <w:overflowPunct w:val="0"/>
              <w:spacing w:line="340" w:lineRule="exact"/>
              <w:ind w:left="432" w:hangingChars="180" w:hanging="432"/>
              <w:rPr>
                <w:rFonts w:ascii="Arial" w:eastAsia="微軟正黑體" w:hAnsi="Arial"/>
                <w:b/>
                <w:bCs/>
                <w:szCs w:val="24"/>
              </w:rPr>
            </w:pPr>
            <w:r w:rsidRPr="00587F7A">
              <w:rPr>
                <w:rFonts w:ascii="Arial" w:eastAsia="微軟正黑體" w:hAnsi="Arial"/>
                <w:b/>
                <w:bCs/>
                <w:szCs w:val="24"/>
              </w:rPr>
              <w:t>6.</w:t>
            </w:r>
            <w:r w:rsidRPr="00587F7A">
              <w:rPr>
                <w:rFonts w:ascii="Arial" w:eastAsia="微軟正黑體" w:hAnsi="Arial" w:hint="eastAsia"/>
                <w:b/>
                <w:bCs/>
                <w:szCs w:val="24"/>
              </w:rPr>
              <w:t xml:space="preserve"> </w:t>
            </w:r>
            <w:r w:rsidR="00635A9F" w:rsidRPr="00587F7A">
              <w:rPr>
                <w:rFonts w:ascii="Arial" w:eastAsia="微軟正黑體" w:hAnsi="Arial"/>
                <w:b/>
                <w:bCs/>
                <w:szCs w:val="24"/>
              </w:rPr>
              <w:t>Solar Thermal</w:t>
            </w:r>
          </w:p>
          <w:p w14:paraId="7EDA1E98" w14:textId="77777777" w:rsidR="00635A9F" w:rsidRPr="00587F7A" w:rsidRDefault="00635A9F" w:rsidP="00635A9F">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w:t>
            </w:r>
            <w:r w:rsidRPr="00587F7A">
              <w:rPr>
                <w:rFonts w:ascii="Arial" w:eastAsia="微軟正黑體" w:hAnsi="Arial"/>
                <w:szCs w:val="24"/>
              </w:rPr>
              <w:tab/>
              <w:t xml:space="preserve">Col.52 (Solar Thermal) is the estimated energy from the installed capacity of solar heat collectors for domestic hot water or swimming pools. </w:t>
            </w:r>
          </w:p>
          <w:p w14:paraId="10D49DFD" w14:textId="15342B79" w:rsidR="00EA1299" w:rsidRPr="00587F7A" w:rsidRDefault="00635A9F" w:rsidP="00635A9F">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szCs w:val="24"/>
              </w:rPr>
              <w:tab/>
              <w:t>The solar water heater survey has been conducted to estimate solar heat generation since 2018 due to the phase out of subsidy for solar water heating systems</w:t>
            </w:r>
            <w:r w:rsidR="007755E0" w:rsidRPr="00587F7A">
              <w:rPr>
                <w:rFonts w:ascii="Arial" w:eastAsia="微軟正黑體" w:hAnsi="Arial" w:hint="eastAsia"/>
                <w:szCs w:val="24"/>
              </w:rPr>
              <w:t>, h</w:t>
            </w:r>
            <w:r w:rsidR="007755E0" w:rsidRPr="00587F7A">
              <w:rPr>
                <w:rFonts w:ascii="Arial" w:eastAsia="微軟正黑體" w:hAnsi="Arial"/>
                <w:szCs w:val="24"/>
              </w:rPr>
              <w:t xml:space="preserve">owever, considering that solar </w:t>
            </w:r>
            <w:r w:rsidR="007755E0" w:rsidRPr="00587F7A">
              <w:rPr>
                <w:rFonts w:ascii="Arial" w:eastAsia="微軟正黑體" w:hAnsi="Arial" w:hint="eastAsia"/>
                <w:szCs w:val="24"/>
              </w:rPr>
              <w:t>heat</w:t>
            </w:r>
            <w:r w:rsidR="007755E0" w:rsidRPr="00587F7A">
              <w:rPr>
                <w:rFonts w:ascii="Arial" w:eastAsia="微軟正黑體" w:hAnsi="Arial"/>
                <w:szCs w:val="24"/>
              </w:rPr>
              <w:t xml:space="preserve"> no longer meets the principle of statistical significance, its compilation has been discontinued since 2022.</w:t>
            </w:r>
          </w:p>
        </w:tc>
      </w:tr>
      <w:tr w:rsidR="00EA1299" w:rsidRPr="00587F7A" w14:paraId="211B5A10" w14:textId="77777777" w:rsidTr="00FB425A">
        <w:tc>
          <w:tcPr>
            <w:tcW w:w="9044" w:type="dxa"/>
            <w:tcBorders>
              <w:top w:val="single" w:sz="4" w:space="0" w:color="auto"/>
              <w:left w:val="single" w:sz="4" w:space="0" w:color="auto"/>
              <w:bottom w:val="single" w:sz="4" w:space="0" w:color="auto"/>
              <w:right w:val="single" w:sz="4" w:space="0" w:color="auto"/>
            </w:tcBorders>
            <w:hideMark/>
          </w:tcPr>
          <w:p w14:paraId="53C71D10" w14:textId="77777777" w:rsidR="00EA1299" w:rsidRPr="00587F7A" w:rsidRDefault="00EA1299" w:rsidP="00FB425A">
            <w:pPr>
              <w:pStyle w:val="a9"/>
              <w:overflowPunct w:val="0"/>
              <w:spacing w:line="340" w:lineRule="exact"/>
              <w:rPr>
                <w:rFonts w:ascii="Arial" w:eastAsia="微軟正黑體" w:hAnsi="Arial"/>
                <w:b/>
                <w:bCs/>
                <w:szCs w:val="24"/>
              </w:rPr>
            </w:pPr>
            <w:r w:rsidRPr="00587F7A">
              <w:rPr>
                <w:rFonts w:ascii="Arial" w:eastAsia="微軟正黑體" w:hAnsi="Arial"/>
                <w:b/>
                <w:bCs/>
                <w:szCs w:val="24"/>
              </w:rPr>
              <w:t>7.</w:t>
            </w:r>
            <w:r w:rsidRPr="00587F7A">
              <w:rPr>
                <w:rFonts w:ascii="Arial" w:eastAsia="微軟正黑體" w:hAnsi="Arial" w:hint="eastAsia"/>
                <w:b/>
                <w:bCs/>
                <w:szCs w:val="24"/>
              </w:rPr>
              <w:t xml:space="preserve"> </w:t>
            </w:r>
            <w:r w:rsidR="00635A9F" w:rsidRPr="00587F7A">
              <w:rPr>
                <w:rFonts w:ascii="Arial" w:eastAsia="微軟正黑體" w:hAnsi="Arial"/>
                <w:b/>
                <w:bCs/>
                <w:szCs w:val="24"/>
              </w:rPr>
              <w:t>Heat</w:t>
            </w:r>
          </w:p>
          <w:p w14:paraId="18B2DED5" w14:textId="77777777" w:rsidR="00EA1299" w:rsidRPr="00587F7A" w:rsidRDefault="00635A9F" w:rsidP="00FB425A">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Col.53 (Heat) shows the flow of heat produced by public cogeneration plants and that produced and sold by auto</w:t>
            </w:r>
            <w:r w:rsidR="00DB2C0A" w:rsidRPr="00587F7A">
              <w:rPr>
                <w:rFonts w:ascii="Arial" w:eastAsia="微軟正黑體" w:hAnsi="Arial"/>
                <w:szCs w:val="24"/>
              </w:rPr>
              <w:t>-</w:t>
            </w:r>
            <w:r w:rsidRPr="00587F7A">
              <w:rPr>
                <w:rFonts w:ascii="Arial" w:eastAsia="微軟正黑體" w:hAnsi="Arial"/>
                <w:szCs w:val="24"/>
              </w:rPr>
              <w:t>producer cogeneration plants.</w:t>
            </w:r>
          </w:p>
        </w:tc>
      </w:tr>
    </w:tbl>
    <w:p w14:paraId="315AD2A2" w14:textId="77777777" w:rsidR="007C034B" w:rsidRPr="00587F7A" w:rsidRDefault="007C034B" w:rsidP="007C034B">
      <w:pPr>
        <w:snapToGrid w:val="0"/>
        <w:spacing w:afterLines="50" w:after="180" w:line="400" w:lineRule="exact"/>
        <w:ind w:left="246"/>
        <w:jc w:val="both"/>
        <w:rPr>
          <w:rFonts w:ascii="Arial" w:eastAsia="微軟正黑體" w:hAnsi="Arial"/>
          <w:sz w:val="28"/>
          <w:szCs w:val="28"/>
        </w:rPr>
      </w:pPr>
    </w:p>
    <w:p w14:paraId="044F5AE2" w14:textId="77777777" w:rsidR="00BB3576" w:rsidRPr="00587F7A" w:rsidRDefault="00BB3576" w:rsidP="00BB3576">
      <w:pPr>
        <w:numPr>
          <w:ilvl w:val="0"/>
          <w:numId w:val="2"/>
        </w:numPr>
        <w:snapToGrid w:val="0"/>
        <w:spacing w:afterLines="50" w:after="180" w:line="400" w:lineRule="exact"/>
        <w:ind w:left="246" w:hangingChars="88" w:hanging="246"/>
        <w:jc w:val="both"/>
        <w:rPr>
          <w:rFonts w:ascii="Arial" w:eastAsia="微軟正黑體" w:hAnsi="Arial"/>
          <w:sz w:val="28"/>
          <w:szCs w:val="28"/>
        </w:rPr>
      </w:pPr>
      <w:r w:rsidRPr="00587F7A">
        <w:rPr>
          <w:rFonts w:ascii="Arial" w:eastAsia="微軟正黑體" w:hAnsi="Arial"/>
          <w:sz w:val="28"/>
          <w:szCs w:val="28"/>
        </w:rPr>
        <w:t xml:space="preserve">The rows of the Energy Balances are composed of three major parts, i.e. Supply side, Transformation side and Consumption side </w:t>
      </w:r>
      <w:r w:rsidRPr="00587F7A">
        <w:rPr>
          <w:rFonts w:ascii="Arial" w:eastAsia="微軟正黑體" w:hAnsi="Arial" w:hint="eastAsia"/>
          <w:sz w:val="28"/>
          <w:szCs w:val="28"/>
        </w:rPr>
        <w:t>(</w:t>
      </w:r>
      <w:r w:rsidRPr="00587F7A">
        <w:rPr>
          <w:rFonts w:ascii="Arial" w:eastAsia="微軟正黑體" w:hAnsi="Arial"/>
          <w:sz w:val="28"/>
          <w:szCs w:val="28"/>
        </w:rPr>
        <w:t>including energy sector own use and total final consumption).</w:t>
      </w:r>
    </w:p>
    <w:tbl>
      <w:tblPr>
        <w:tblW w:w="904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4"/>
      </w:tblGrid>
      <w:tr w:rsidR="006F7470" w:rsidRPr="00587F7A" w14:paraId="7B117E6C" w14:textId="77777777" w:rsidTr="004B48AD">
        <w:tc>
          <w:tcPr>
            <w:tcW w:w="9044" w:type="dxa"/>
            <w:tcBorders>
              <w:top w:val="single" w:sz="4" w:space="0" w:color="auto"/>
              <w:left w:val="single" w:sz="4" w:space="0" w:color="auto"/>
              <w:bottom w:val="nil"/>
              <w:right w:val="single" w:sz="4" w:space="0" w:color="auto"/>
            </w:tcBorders>
          </w:tcPr>
          <w:p w14:paraId="735E5542" w14:textId="77777777" w:rsidR="00BB3576" w:rsidRPr="00587F7A" w:rsidRDefault="00BB3576" w:rsidP="004B48AD">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t xml:space="preserve">1. </w:t>
            </w:r>
            <w:r w:rsidRPr="00587F7A">
              <w:rPr>
                <w:rFonts w:ascii="Arial" w:eastAsia="微軟正黑體" w:hAnsi="Arial"/>
                <w:b/>
                <w:bCs/>
                <w:szCs w:val="24"/>
              </w:rPr>
              <w:t>Supply side</w:t>
            </w:r>
          </w:p>
          <w:p w14:paraId="04F9B7EC" w14:textId="77777777" w:rsidR="00BB3576" w:rsidRPr="00587F7A" w:rsidRDefault="00BB3576" w:rsidP="004B48AD">
            <w:pPr>
              <w:pStyle w:val="a9"/>
              <w:overflowPunct w:val="0"/>
              <w:spacing w:line="340" w:lineRule="exact"/>
              <w:rPr>
                <w:rFonts w:ascii="Arial" w:eastAsia="微軟正黑體" w:hAnsi="Arial"/>
                <w:szCs w:val="24"/>
                <w:u w:val="single"/>
              </w:rPr>
            </w:pPr>
            <w:r w:rsidRPr="00587F7A">
              <w:rPr>
                <w:rFonts w:ascii="Arial" w:eastAsia="微軟正黑體" w:hAnsi="Arial"/>
                <w:szCs w:val="24"/>
                <w:u w:val="single"/>
              </w:rPr>
              <w:t>Row1</w:t>
            </w:r>
            <w:r w:rsidR="000238EC" w:rsidRPr="00587F7A">
              <w:rPr>
                <w:rFonts w:ascii="Arial" w:eastAsia="微軟正黑體" w:hAnsi="Arial"/>
                <w:szCs w:val="24"/>
                <w:u w:val="single"/>
              </w:rPr>
              <w:t xml:space="preserve"> </w:t>
            </w:r>
            <w:r w:rsidR="000238EC" w:rsidRPr="00587F7A">
              <w:rPr>
                <w:rFonts w:ascii="Arial" w:eastAsia="微軟正黑體" w:hAnsi="Arial" w:hint="eastAsia"/>
                <w:szCs w:val="24"/>
                <w:u w:val="single"/>
              </w:rPr>
              <w:t>(</w:t>
            </w:r>
            <w:r w:rsidR="000238EC" w:rsidRPr="00587F7A">
              <w:rPr>
                <w:rFonts w:ascii="Arial" w:eastAsia="微軟正黑體" w:hAnsi="Arial"/>
                <w:szCs w:val="24"/>
                <w:u w:val="single"/>
              </w:rPr>
              <w:t>Indigenous Production)</w:t>
            </w:r>
          </w:p>
        </w:tc>
      </w:tr>
      <w:tr w:rsidR="006F7470" w:rsidRPr="00587F7A" w14:paraId="19F099BC" w14:textId="77777777" w:rsidTr="004B48AD">
        <w:tc>
          <w:tcPr>
            <w:tcW w:w="9044" w:type="dxa"/>
            <w:tcBorders>
              <w:top w:val="nil"/>
              <w:left w:val="single" w:sz="4" w:space="0" w:color="auto"/>
              <w:bottom w:val="single" w:sz="4" w:space="0" w:color="auto"/>
              <w:right w:val="single" w:sz="4" w:space="0" w:color="auto"/>
            </w:tcBorders>
            <w:hideMark/>
          </w:tcPr>
          <w:p w14:paraId="692BDD15" w14:textId="77777777" w:rsidR="000238EC" w:rsidRPr="00587F7A" w:rsidRDefault="000238EC" w:rsidP="000238EC">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This only refers to the domestic production of the primary energy.  </w:t>
            </w:r>
          </w:p>
          <w:p w14:paraId="52CD658A" w14:textId="77777777" w:rsidR="000238EC" w:rsidRPr="00587F7A" w:rsidRDefault="000238EC" w:rsidP="000238EC">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(2) The primary energy refers to the energy that has not been put to any conversion or transformation process, e.g. crude oil, natural gas, biomass and waste, hydro, geothermal, solar and wind power. </w:t>
            </w:r>
          </w:p>
          <w:p w14:paraId="2CBD4317" w14:textId="77777777" w:rsidR="00BB3576" w:rsidRPr="00587F7A" w:rsidRDefault="000238EC" w:rsidP="000238EC">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 Overseas production of primary energy such as crude oil by domestic energy enterprises should not be included in Indigenous Production.</w:t>
            </w:r>
          </w:p>
          <w:p w14:paraId="73C388AB"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2</w:t>
            </w:r>
            <w:r w:rsidR="000238EC" w:rsidRPr="00587F7A">
              <w:rPr>
                <w:rFonts w:ascii="Arial" w:eastAsia="微軟正黑體" w:hAnsi="Arial" w:hint="eastAsia"/>
                <w:szCs w:val="24"/>
                <w:u w:val="single"/>
              </w:rPr>
              <w:t xml:space="preserve"> </w:t>
            </w:r>
            <w:r w:rsidR="000238EC" w:rsidRPr="00587F7A">
              <w:rPr>
                <w:rFonts w:ascii="Arial" w:eastAsia="微軟正黑體" w:hAnsi="Arial"/>
                <w:szCs w:val="24"/>
                <w:u w:val="single"/>
              </w:rPr>
              <w:t>(Imports</w:t>
            </w:r>
            <w:r w:rsidR="000238EC" w:rsidRPr="00587F7A">
              <w:rPr>
                <w:rFonts w:ascii="Arial" w:eastAsia="微軟正黑體" w:hAnsi="Arial" w:hint="eastAsia"/>
                <w:szCs w:val="24"/>
                <w:u w:val="single"/>
              </w:rPr>
              <w:t>)</w:t>
            </w:r>
          </w:p>
          <w:p w14:paraId="2F5EF49E" w14:textId="77777777" w:rsidR="000238EC" w:rsidRPr="00587F7A" w:rsidRDefault="000238EC" w:rsidP="000238EC">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This indicates the primary and secondary energy imported from abroad.  </w:t>
            </w:r>
          </w:p>
          <w:p w14:paraId="68DB2BD6" w14:textId="77777777" w:rsidR="000238EC" w:rsidRPr="00587F7A" w:rsidRDefault="000238EC" w:rsidP="000238EC">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(2) Though the OECD/IEA considers nuclear power quasi-indigenous and therefore classifies it into indigenous production, nuclear power is deemed imports in this </w:t>
            </w:r>
            <w:r w:rsidRPr="00587F7A">
              <w:rPr>
                <w:rFonts w:ascii="Arial" w:eastAsia="微軟正黑體" w:hAnsi="Arial"/>
                <w:szCs w:val="24"/>
              </w:rPr>
              <w:lastRenderedPageBreak/>
              <w:t>Balances.</w:t>
            </w:r>
          </w:p>
          <w:p w14:paraId="3B2D93CC" w14:textId="77777777" w:rsidR="00BB3576" w:rsidRPr="00587F7A" w:rsidRDefault="000238EC" w:rsidP="000238EC">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 While the summation of indigenous production and imports is titled Total Energy Supply in other publications of this Bureau, it is dubbed Total Primary Energy Supply (TPES) in Japanese energy statistics. The OECD/IEA has not named the summation of indigenous production and imports.</w:t>
            </w:r>
          </w:p>
          <w:p w14:paraId="5E8BD7E4"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3</w:t>
            </w:r>
            <w:r w:rsidR="004E508D" w:rsidRPr="00587F7A">
              <w:rPr>
                <w:rFonts w:ascii="Arial" w:eastAsia="微軟正黑體" w:hAnsi="Arial"/>
                <w:szCs w:val="24"/>
                <w:u w:val="single"/>
              </w:rPr>
              <w:t xml:space="preserve"> </w:t>
            </w:r>
            <w:r w:rsidR="004E508D" w:rsidRPr="00587F7A">
              <w:rPr>
                <w:rFonts w:ascii="Arial" w:eastAsia="微軟正黑體" w:hAnsi="Arial" w:hint="eastAsia"/>
                <w:szCs w:val="24"/>
                <w:u w:val="single"/>
              </w:rPr>
              <w:t>(</w:t>
            </w:r>
            <w:r w:rsidR="004E508D" w:rsidRPr="00587F7A">
              <w:rPr>
                <w:rFonts w:ascii="Arial" w:eastAsia="微軟正黑體" w:hAnsi="Arial"/>
                <w:szCs w:val="24"/>
                <w:u w:val="single"/>
              </w:rPr>
              <w:t>Exports</w:t>
            </w:r>
            <w:r w:rsidR="004E508D" w:rsidRPr="00587F7A">
              <w:rPr>
                <w:rFonts w:ascii="Arial" w:eastAsia="微軟正黑體" w:hAnsi="Arial" w:hint="eastAsia"/>
                <w:szCs w:val="24"/>
                <w:u w:val="single"/>
              </w:rPr>
              <w:t>)</w:t>
            </w:r>
          </w:p>
          <w:p w14:paraId="35E63D6A" w14:textId="77777777" w:rsidR="00BB3576" w:rsidRPr="00587F7A" w:rsidRDefault="004E508D" w:rsidP="004E508D">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 xml:space="preserve">This indicates the primary and secondary energy shipped </w:t>
            </w:r>
            <w:proofErr w:type="gramStart"/>
            <w:r w:rsidRPr="00587F7A">
              <w:rPr>
                <w:rFonts w:ascii="Arial" w:eastAsia="微軟正黑體" w:hAnsi="Arial"/>
                <w:szCs w:val="24"/>
              </w:rPr>
              <w:t>to</w:t>
            </w:r>
            <w:proofErr w:type="gramEnd"/>
            <w:r w:rsidRPr="00587F7A">
              <w:rPr>
                <w:rFonts w:ascii="Arial" w:eastAsia="微軟正黑體" w:hAnsi="Arial"/>
                <w:szCs w:val="24"/>
              </w:rPr>
              <w:t xml:space="preserve"> abroad.</w:t>
            </w:r>
          </w:p>
          <w:p w14:paraId="5CCEE173"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4</w:t>
            </w:r>
            <w:r w:rsidR="004E508D" w:rsidRPr="00587F7A">
              <w:rPr>
                <w:rFonts w:ascii="Arial" w:eastAsia="微軟正黑體" w:hAnsi="Arial"/>
                <w:szCs w:val="24"/>
                <w:u w:val="single"/>
              </w:rPr>
              <w:t xml:space="preserve"> (International Marine Bunkers</w:t>
            </w:r>
            <w:r w:rsidR="004E508D" w:rsidRPr="00587F7A">
              <w:rPr>
                <w:rFonts w:ascii="Arial" w:eastAsia="微軟正黑體" w:hAnsi="Arial" w:hint="eastAsia"/>
                <w:szCs w:val="24"/>
                <w:u w:val="single"/>
              </w:rPr>
              <w:t>)</w:t>
            </w:r>
          </w:p>
          <w:p w14:paraId="07ABDFBC" w14:textId="77777777" w:rsidR="00BB3576" w:rsidRPr="00587F7A" w:rsidRDefault="004E508D" w:rsidP="004E508D">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This reflects quantities of fuel supplied to sea-going ships at the domestic harbors for destination port in foreign countries whatever their flags and category. The international marine bunkers are different from exports.</w:t>
            </w:r>
          </w:p>
          <w:p w14:paraId="67B2D270"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5</w:t>
            </w:r>
            <w:r w:rsidR="004E508D" w:rsidRPr="00587F7A">
              <w:rPr>
                <w:rFonts w:ascii="Arial" w:eastAsia="微軟正黑體" w:hAnsi="Arial" w:hint="eastAsia"/>
                <w:szCs w:val="24"/>
                <w:u w:val="single"/>
              </w:rPr>
              <w:t xml:space="preserve"> </w:t>
            </w:r>
            <w:r w:rsidR="004E508D" w:rsidRPr="00587F7A">
              <w:rPr>
                <w:rFonts w:ascii="Arial" w:eastAsia="微軟正黑體" w:hAnsi="Arial"/>
                <w:szCs w:val="24"/>
                <w:u w:val="single"/>
              </w:rPr>
              <w:t>(International Civil Aviation)</w:t>
            </w:r>
          </w:p>
          <w:p w14:paraId="523FF3CB" w14:textId="77777777" w:rsidR="00BB3576" w:rsidRPr="00587F7A" w:rsidRDefault="004E508D" w:rsidP="004E508D">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This reflects quantities of fuel supplied for international civil aviation.</w:t>
            </w:r>
          </w:p>
          <w:p w14:paraId="7A789C2B"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6</w:t>
            </w:r>
            <w:r w:rsidR="004E508D" w:rsidRPr="00587F7A">
              <w:rPr>
                <w:rFonts w:ascii="Arial" w:eastAsia="微軟正黑體" w:hAnsi="Arial"/>
                <w:szCs w:val="24"/>
                <w:u w:val="single"/>
              </w:rPr>
              <w:t xml:space="preserve"> </w:t>
            </w:r>
            <w:r w:rsidR="004E508D" w:rsidRPr="00587F7A">
              <w:rPr>
                <w:rFonts w:ascii="Arial" w:eastAsia="微軟正黑體" w:hAnsi="Arial" w:hint="eastAsia"/>
                <w:szCs w:val="24"/>
                <w:u w:val="single"/>
              </w:rPr>
              <w:t>(</w:t>
            </w:r>
            <w:r w:rsidR="004E508D" w:rsidRPr="00587F7A">
              <w:rPr>
                <w:rFonts w:ascii="Arial" w:eastAsia="微軟正黑體" w:hAnsi="Arial"/>
                <w:szCs w:val="24"/>
                <w:u w:val="single"/>
              </w:rPr>
              <w:t>Change in Stocks</w:t>
            </w:r>
            <w:r w:rsidR="004E508D" w:rsidRPr="00587F7A">
              <w:rPr>
                <w:rFonts w:ascii="Arial" w:eastAsia="微軟正黑體" w:hAnsi="Arial" w:hint="eastAsia"/>
                <w:szCs w:val="24"/>
                <w:u w:val="single"/>
              </w:rPr>
              <w:t>)</w:t>
            </w:r>
          </w:p>
          <w:p w14:paraId="000C0D45" w14:textId="77777777" w:rsidR="004E508D" w:rsidRPr="00587F7A" w:rsidRDefault="004E508D" w:rsidP="004E508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This by definition indicates the fluctuation in stocks of the primary and secondary energy between ends of two consecutive years.  </w:t>
            </w:r>
          </w:p>
          <w:p w14:paraId="6965B60E" w14:textId="77777777" w:rsidR="004E508D" w:rsidRPr="00587F7A" w:rsidRDefault="004E508D" w:rsidP="004E508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The stock changes for bituminous coal-coking coal, bituminous coal-steam coal, anthracite, sub-bituminous coal, coke, crude oil, refinery feedstocks, liquefied petroleum gas (LPG), naphtha, motor gasoline, jet fuel, kerosene, diesel oil, and fuel oil, and liquefied natural gas (LNG) are basically the actual changes in stocks in recent years.</w:t>
            </w:r>
            <w:r w:rsidRPr="00587F7A">
              <w:rPr>
                <w:rFonts w:ascii="Arial" w:eastAsia="微軟正黑體" w:hAnsi="Arial" w:hint="eastAsia"/>
                <w:szCs w:val="24"/>
              </w:rPr>
              <w:t xml:space="preserve"> </w:t>
            </w:r>
            <w:r w:rsidRPr="00587F7A">
              <w:rPr>
                <w:rFonts w:ascii="Arial" w:eastAsia="微軟正黑體" w:hAnsi="Arial"/>
                <w:szCs w:val="24"/>
              </w:rPr>
              <w:t>For other energy products, the change in stocks is in fact the residual to balance supply and demand of that energy, as was in previous format.</w:t>
            </w:r>
          </w:p>
          <w:p w14:paraId="7E061472" w14:textId="77777777" w:rsidR="00BB3576" w:rsidRPr="00587F7A" w:rsidRDefault="004E508D" w:rsidP="004E508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 Since the bituminous coal and sub-bituminous coal could not be split at the stages of storage and combustion for power industry before June 2016, they are estimates according to the ratio of imports, but are reported number thereafter. Thus, uncertainty exists in change in stocks and statistical differences for these two coals. However, the statistical difference shrinks when these two coals combined.</w:t>
            </w:r>
          </w:p>
          <w:p w14:paraId="4A4B4D54"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7</w:t>
            </w:r>
            <w:r w:rsidR="00DD4EF0" w:rsidRPr="00587F7A">
              <w:rPr>
                <w:rFonts w:ascii="Arial" w:eastAsia="微軟正黑體" w:hAnsi="Arial"/>
                <w:szCs w:val="24"/>
                <w:u w:val="single"/>
              </w:rPr>
              <w:t xml:space="preserve"> (Total Primary Energy Supply, TPES)</w:t>
            </w:r>
          </w:p>
          <w:p w14:paraId="45E2695B" w14:textId="77777777" w:rsidR="00BB3576" w:rsidRPr="00587F7A" w:rsidRDefault="00DD4EF0" w:rsidP="00DD4EF0">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As in OECD/IEA energy statistics and equivalent to Domestic Primary Energy Supply (DPES) in Japanese energy statistics, TPES is derived by the formula:</w:t>
            </w:r>
            <w:r w:rsidRPr="00587F7A">
              <w:rPr>
                <w:rFonts w:ascii="Arial" w:eastAsia="微軟正黑體" w:hAnsi="Arial" w:hint="eastAsia"/>
                <w:szCs w:val="24"/>
              </w:rPr>
              <w:t xml:space="preserve"> Row7</w:t>
            </w:r>
            <w:r w:rsidRPr="00587F7A">
              <w:rPr>
                <w:rFonts w:ascii="Arial" w:eastAsia="微軟正黑體" w:hAnsi="Arial" w:hint="eastAsia"/>
                <w:szCs w:val="24"/>
              </w:rPr>
              <w:t>＝</w:t>
            </w:r>
            <w:r w:rsidRPr="00587F7A">
              <w:rPr>
                <w:rFonts w:ascii="Arial" w:eastAsia="微軟正黑體" w:hAnsi="Arial" w:hint="eastAsia"/>
                <w:szCs w:val="24"/>
              </w:rPr>
              <w:t>Row1</w:t>
            </w:r>
            <w:r w:rsidRPr="00587F7A">
              <w:rPr>
                <w:rFonts w:ascii="Arial" w:eastAsia="微軟正黑體" w:hAnsi="Arial" w:hint="eastAsia"/>
                <w:szCs w:val="24"/>
              </w:rPr>
              <w:t>＋</w:t>
            </w:r>
            <w:r w:rsidRPr="00587F7A">
              <w:rPr>
                <w:rFonts w:ascii="Arial" w:eastAsia="微軟正黑體" w:hAnsi="Arial" w:hint="eastAsia"/>
                <w:szCs w:val="24"/>
              </w:rPr>
              <w:t>Row2</w:t>
            </w:r>
            <w:r w:rsidRPr="00587F7A">
              <w:rPr>
                <w:rFonts w:ascii="Arial" w:eastAsia="微軟正黑體" w:hAnsi="Arial" w:hint="eastAsia"/>
                <w:szCs w:val="24"/>
              </w:rPr>
              <w:t>－</w:t>
            </w:r>
            <w:r w:rsidRPr="00587F7A">
              <w:rPr>
                <w:rFonts w:ascii="Arial" w:eastAsia="微軟正黑體" w:hAnsi="Arial" w:hint="eastAsia"/>
                <w:szCs w:val="24"/>
              </w:rPr>
              <w:t>Row3</w:t>
            </w:r>
            <w:r w:rsidRPr="00587F7A">
              <w:rPr>
                <w:rFonts w:ascii="Arial" w:eastAsia="微軟正黑體" w:hAnsi="Arial" w:hint="eastAsia"/>
                <w:szCs w:val="24"/>
              </w:rPr>
              <w:t>－</w:t>
            </w:r>
            <w:r w:rsidRPr="00587F7A">
              <w:rPr>
                <w:rFonts w:ascii="Arial" w:eastAsia="微軟正黑體" w:hAnsi="Arial" w:hint="eastAsia"/>
                <w:szCs w:val="24"/>
              </w:rPr>
              <w:t>Row4</w:t>
            </w:r>
            <w:r w:rsidRPr="00587F7A">
              <w:rPr>
                <w:rFonts w:ascii="Arial" w:eastAsia="微軟正黑體" w:hAnsi="Arial" w:hint="eastAsia"/>
                <w:szCs w:val="24"/>
              </w:rPr>
              <w:t>－</w:t>
            </w:r>
            <w:r w:rsidRPr="00587F7A">
              <w:rPr>
                <w:rFonts w:ascii="Arial" w:eastAsia="微軟正黑體" w:hAnsi="Arial" w:hint="eastAsia"/>
                <w:szCs w:val="24"/>
              </w:rPr>
              <w:t>Row5</w:t>
            </w:r>
            <w:r w:rsidRPr="00587F7A">
              <w:rPr>
                <w:rFonts w:ascii="Arial" w:eastAsia="微軟正黑體" w:hAnsi="Arial" w:hint="eastAsia"/>
                <w:szCs w:val="24"/>
              </w:rPr>
              <w:t>－</w:t>
            </w:r>
            <w:r w:rsidRPr="00587F7A">
              <w:rPr>
                <w:rFonts w:ascii="Arial" w:eastAsia="微軟正黑體" w:hAnsi="Arial" w:hint="eastAsia"/>
                <w:szCs w:val="24"/>
              </w:rPr>
              <w:t>Row6</w:t>
            </w:r>
            <w:r w:rsidRPr="00587F7A">
              <w:rPr>
                <w:rFonts w:ascii="Arial" w:eastAsia="微軟正黑體" w:hAnsi="Arial"/>
                <w:szCs w:val="24"/>
              </w:rPr>
              <w:t>.</w:t>
            </w:r>
          </w:p>
        </w:tc>
      </w:tr>
      <w:tr w:rsidR="006F7470" w:rsidRPr="00587F7A" w14:paraId="4826134F" w14:textId="77777777" w:rsidTr="004B48AD">
        <w:tc>
          <w:tcPr>
            <w:tcW w:w="9044" w:type="dxa"/>
            <w:tcBorders>
              <w:top w:val="single" w:sz="4" w:space="0" w:color="auto"/>
              <w:left w:val="single" w:sz="4" w:space="0" w:color="auto"/>
              <w:bottom w:val="single" w:sz="4" w:space="0" w:color="auto"/>
              <w:right w:val="single" w:sz="4" w:space="0" w:color="auto"/>
            </w:tcBorders>
          </w:tcPr>
          <w:p w14:paraId="3E467453" w14:textId="77777777" w:rsidR="00BB3576" w:rsidRPr="00587F7A" w:rsidRDefault="00BB3576" w:rsidP="004B48AD">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lastRenderedPageBreak/>
              <w:t xml:space="preserve">2. </w:t>
            </w:r>
            <w:r w:rsidRPr="00587F7A">
              <w:rPr>
                <w:rFonts w:ascii="Arial" w:eastAsia="微軟正黑體" w:hAnsi="Arial"/>
                <w:b/>
                <w:bCs/>
                <w:szCs w:val="24"/>
              </w:rPr>
              <w:t>Transformation side</w:t>
            </w:r>
          </w:p>
          <w:p w14:paraId="2FE96261"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8</w:t>
            </w:r>
            <w:r w:rsidR="00581A46" w:rsidRPr="00587F7A">
              <w:rPr>
                <w:rFonts w:ascii="Arial" w:eastAsia="微軟正黑體" w:hAnsi="Arial"/>
                <w:szCs w:val="24"/>
                <w:u w:val="single"/>
              </w:rPr>
              <w:t xml:space="preserve"> (</w:t>
            </w:r>
            <w:proofErr w:type="gramStart"/>
            <w:r w:rsidR="00581A46" w:rsidRPr="00587F7A">
              <w:rPr>
                <w:rFonts w:ascii="Arial" w:eastAsia="微軟正黑體" w:hAnsi="Arial"/>
                <w:szCs w:val="24"/>
                <w:u w:val="single"/>
              </w:rPr>
              <w:t>Transfers(</w:t>
            </w:r>
            <w:proofErr w:type="gramEnd"/>
            <w:r w:rsidR="00581A46" w:rsidRPr="00587F7A">
              <w:rPr>
                <w:rFonts w:ascii="Arial" w:eastAsia="微軟正黑體" w:hAnsi="Arial"/>
                <w:szCs w:val="24"/>
                <w:u w:val="single"/>
              </w:rPr>
              <w:t>Input))</w:t>
            </w:r>
          </w:p>
          <w:p w14:paraId="276FEEFE" w14:textId="77777777" w:rsidR="00581A46" w:rsidRPr="00587F7A" w:rsidRDefault="00581A46" w:rsidP="00581A46">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 This refers to the inter-product transfer among the petroleum products.  The figures reflect quantities transferred to other oil products. As for LNG, the figure reflects the quantity of LNG re-gasified to produce NG (2), and the re-gasified LNG used to produce NG (1).</w:t>
            </w:r>
          </w:p>
          <w:p w14:paraId="0C305241" w14:textId="77777777" w:rsidR="00BB3576" w:rsidRPr="00587F7A" w:rsidRDefault="00581A46" w:rsidP="00581A46">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Due to the complexity of the refining and petrochemical processes, and the lack of complete and accurate data as a result, some figures in this row are estimates.</w:t>
            </w:r>
          </w:p>
          <w:p w14:paraId="34D04222"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lastRenderedPageBreak/>
              <w:t>Row</w:t>
            </w:r>
            <w:r w:rsidRPr="00587F7A">
              <w:rPr>
                <w:rFonts w:ascii="Arial" w:eastAsia="微軟正黑體" w:hAnsi="Arial" w:hint="eastAsia"/>
                <w:szCs w:val="24"/>
                <w:u w:val="single"/>
              </w:rPr>
              <w:t>10</w:t>
            </w:r>
            <w:r w:rsidR="00167FB7" w:rsidRPr="00587F7A">
              <w:rPr>
                <w:rFonts w:ascii="Arial" w:eastAsia="微軟正黑體" w:hAnsi="Arial"/>
                <w:szCs w:val="24"/>
                <w:u w:val="single"/>
              </w:rPr>
              <w:t xml:space="preserve"> </w:t>
            </w:r>
            <w:r w:rsidR="00167FB7" w:rsidRPr="00587F7A">
              <w:rPr>
                <w:rFonts w:ascii="Arial" w:eastAsia="微軟正黑體" w:hAnsi="Arial" w:hint="eastAsia"/>
                <w:szCs w:val="24"/>
                <w:u w:val="single"/>
              </w:rPr>
              <w:t>(</w:t>
            </w:r>
            <w:r w:rsidR="00167FB7" w:rsidRPr="00587F7A">
              <w:rPr>
                <w:rFonts w:ascii="Arial" w:eastAsia="微軟正黑體" w:hAnsi="Arial"/>
                <w:szCs w:val="24"/>
                <w:u w:val="single"/>
              </w:rPr>
              <w:t>Transformation Input</w:t>
            </w:r>
            <w:r w:rsidR="00167FB7" w:rsidRPr="00587F7A">
              <w:rPr>
                <w:rFonts w:ascii="Arial" w:eastAsia="微軟正黑體" w:hAnsi="Arial" w:hint="eastAsia"/>
                <w:szCs w:val="24"/>
                <w:u w:val="single"/>
              </w:rPr>
              <w:t>)</w:t>
            </w:r>
          </w:p>
          <w:p w14:paraId="3485E6DF" w14:textId="77777777" w:rsidR="00167FB7" w:rsidRPr="00587F7A" w:rsidRDefault="00167FB7" w:rsidP="00167FB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This row represents the primary and secondary energy transformed into other types of the secondary energy, such as coals transformed into cokes, coal and fuel oil into thermal power etc.  </w:t>
            </w:r>
          </w:p>
          <w:p w14:paraId="0FF6CEA8" w14:textId="77777777" w:rsidR="00167FB7" w:rsidRPr="00587F7A" w:rsidRDefault="00167FB7" w:rsidP="00167FB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The row “Coke and Gas” in the previous format is divided into “Coke Ovens” and “Blast Furnaces”.</w:t>
            </w:r>
          </w:p>
          <w:p w14:paraId="0A62CE1D" w14:textId="77777777" w:rsidR="00167FB7" w:rsidRPr="00587F7A" w:rsidRDefault="00167FB7" w:rsidP="00167FB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 Power generation and cogeneration are detailed into public and auto</w:t>
            </w:r>
            <w:r w:rsidR="00DB2C0A" w:rsidRPr="00587F7A">
              <w:rPr>
                <w:rFonts w:ascii="Arial" w:eastAsia="微軟正黑體" w:hAnsi="Arial"/>
                <w:szCs w:val="24"/>
              </w:rPr>
              <w:t>-</w:t>
            </w:r>
            <w:r w:rsidRPr="00587F7A">
              <w:rPr>
                <w:rFonts w:ascii="Arial" w:eastAsia="微軟正黑體" w:hAnsi="Arial"/>
                <w:szCs w:val="24"/>
              </w:rPr>
              <w:t>producers. While public producers refer to the electricity plants and cogeneration plants generating for sale as main business, the auto</w:t>
            </w:r>
            <w:r w:rsidR="00DB2C0A" w:rsidRPr="00587F7A">
              <w:rPr>
                <w:rFonts w:ascii="Arial" w:eastAsia="微軟正黑體" w:hAnsi="Arial"/>
                <w:szCs w:val="24"/>
              </w:rPr>
              <w:t>-</w:t>
            </w:r>
            <w:r w:rsidRPr="00587F7A">
              <w:rPr>
                <w:rFonts w:ascii="Arial" w:eastAsia="微軟正黑體" w:hAnsi="Arial"/>
                <w:szCs w:val="24"/>
              </w:rPr>
              <w:t xml:space="preserve">producers are plants generating basically for own use.  </w:t>
            </w:r>
          </w:p>
          <w:p w14:paraId="0B89E22A" w14:textId="77777777" w:rsidR="00167FB7" w:rsidRPr="00587F7A" w:rsidRDefault="00167FB7" w:rsidP="00167FB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(4) The PCI coal used in the blast furnaces, which was considered as fuel and categorized into Energy Sector Own Use in 2006 to 2008 editions, is reclassified into Transformation Input starting 2009 edition.</w:t>
            </w:r>
          </w:p>
          <w:p w14:paraId="43B61E81" w14:textId="77777777" w:rsidR="00167FB7" w:rsidRPr="00587F7A" w:rsidRDefault="00167FB7" w:rsidP="00167FB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(5) Fuels for auto</w:t>
            </w:r>
            <w:r w:rsidR="00DB2C0A" w:rsidRPr="00587F7A">
              <w:rPr>
                <w:rFonts w:ascii="Arial" w:eastAsia="微軟正黑體" w:hAnsi="Arial"/>
                <w:szCs w:val="24"/>
              </w:rPr>
              <w:t>-</w:t>
            </w:r>
            <w:r w:rsidRPr="00587F7A">
              <w:rPr>
                <w:rFonts w:ascii="Arial" w:eastAsia="微軟正黑體" w:hAnsi="Arial"/>
                <w:szCs w:val="24"/>
              </w:rPr>
              <w:t>cogeneration producers are derived by subtracting the input equivalent of the useful heat from total fuel input.</w:t>
            </w:r>
          </w:p>
          <w:p w14:paraId="3CBD0C03" w14:textId="77777777" w:rsidR="00BB3576" w:rsidRPr="00587F7A" w:rsidRDefault="00167FB7" w:rsidP="00167FB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(6) Electricity to pump up is classified into the “Energy Sector Own Use.”</w:t>
            </w:r>
          </w:p>
          <w:p w14:paraId="3B829E11"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20</w:t>
            </w:r>
            <w:r w:rsidR="00167FB7" w:rsidRPr="00587F7A">
              <w:rPr>
                <w:rFonts w:ascii="Arial" w:eastAsia="微軟正黑體" w:hAnsi="Arial"/>
                <w:szCs w:val="24"/>
                <w:u w:val="single"/>
              </w:rPr>
              <w:t xml:space="preserve"> (Transformation Output</w:t>
            </w:r>
            <w:r w:rsidR="00167FB7" w:rsidRPr="00587F7A">
              <w:rPr>
                <w:rFonts w:ascii="Arial" w:eastAsia="微軟正黑體" w:hAnsi="Arial" w:hint="eastAsia"/>
                <w:szCs w:val="24"/>
                <w:u w:val="single"/>
              </w:rPr>
              <w:t>)</w:t>
            </w:r>
          </w:p>
          <w:p w14:paraId="1CF6B6E3" w14:textId="77777777" w:rsidR="00167FB7" w:rsidRPr="00587F7A" w:rsidRDefault="00167FB7" w:rsidP="006E147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w:t>
            </w:r>
            <w:r w:rsidR="006E147D" w:rsidRPr="00587F7A">
              <w:rPr>
                <w:rFonts w:ascii="Arial" w:eastAsia="微軟正黑體" w:hAnsi="Arial"/>
                <w:szCs w:val="24"/>
              </w:rPr>
              <w:t xml:space="preserve"> </w:t>
            </w:r>
            <w:r w:rsidRPr="00587F7A">
              <w:rPr>
                <w:rFonts w:ascii="Arial" w:eastAsia="微軟正黑體" w:hAnsi="Arial"/>
                <w:szCs w:val="24"/>
              </w:rPr>
              <w:t xml:space="preserve">This indicates the domestic production of the secondary energy, such as the coke transformed from coking coal in coke ovens.  </w:t>
            </w:r>
          </w:p>
          <w:p w14:paraId="3FD2EB98" w14:textId="77777777" w:rsidR="00167FB7" w:rsidRPr="00587F7A" w:rsidRDefault="00167FB7" w:rsidP="006E147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006E147D" w:rsidRPr="00587F7A">
              <w:rPr>
                <w:rFonts w:ascii="Arial" w:eastAsia="微軟正黑體" w:hAnsi="Arial"/>
                <w:szCs w:val="24"/>
              </w:rPr>
              <w:t xml:space="preserve"> </w:t>
            </w:r>
            <w:r w:rsidRPr="00587F7A">
              <w:rPr>
                <w:rFonts w:ascii="Arial" w:eastAsia="微軟正黑體" w:hAnsi="Arial"/>
                <w:szCs w:val="24"/>
              </w:rPr>
              <w:t xml:space="preserve">The efficiency of refinery is roughly obtained as the ratio of Transformation Output plus the Transfer of the Column “Crude Oil and Petroleum Products” to the Transformation Input of “Crude Oil”. Theoretically, the closer to 100% the ratio, the higher the refinery efficiency. </w:t>
            </w:r>
          </w:p>
          <w:p w14:paraId="19A50ADA" w14:textId="77777777" w:rsidR="00167FB7" w:rsidRPr="00587F7A" w:rsidRDefault="00167FB7" w:rsidP="006E147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w:t>
            </w:r>
            <w:r w:rsidR="006E147D" w:rsidRPr="00587F7A">
              <w:rPr>
                <w:rFonts w:ascii="Arial" w:eastAsia="微軟正黑體" w:hAnsi="Arial"/>
                <w:szCs w:val="24"/>
              </w:rPr>
              <w:t>3</w:t>
            </w:r>
            <w:r w:rsidRPr="00587F7A">
              <w:rPr>
                <w:rFonts w:ascii="Arial" w:eastAsia="微軟正黑體" w:hAnsi="Arial"/>
                <w:szCs w:val="24"/>
              </w:rPr>
              <w:t>)</w:t>
            </w:r>
            <w:r w:rsidR="006E147D" w:rsidRPr="00587F7A">
              <w:rPr>
                <w:rFonts w:ascii="Arial" w:eastAsia="微軟正黑體" w:hAnsi="Arial"/>
                <w:szCs w:val="24"/>
              </w:rPr>
              <w:t xml:space="preserve"> </w:t>
            </w:r>
            <w:r w:rsidRPr="00587F7A">
              <w:rPr>
                <w:rFonts w:ascii="Arial" w:eastAsia="微軟正黑體" w:hAnsi="Arial"/>
                <w:szCs w:val="24"/>
              </w:rPr>
              <w:t>The transformation output of the hydro power is the pumped storage power generation.</w:t>
            </w:r>
          </w:p>
          <w:p w14:paraId="6B9DFE7F" w14:textId="77777777" w:rsidR="00BB3576" w:rsidRPr="00587F7A" w:rsidRDefault="00167FB7" w:rsidP="006E147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w:t>
            </w:r>
            <w:r w:rsidR="006E147D" w:rsidRPr="00587F7A">
              <w:rPr>
                <w:rFonts w:ascii="Arial" w:eastAsia="微軟正黑體" w:hAnsi="Arial"/>
                <w:szCs w:val="24"/>
              </w:rPr>
              <w:t>4</w:t>
            </w:r>
            <w:r w:rsidRPr="00587F7A">
              <w:rPr>
                <w:rFonts w:ascii="Arial" w:eastAsia="微軟正黑體" w:hAnsi="Arial"/>
                <w:szCs w:val="24"/>
              </w:rPr>
              <w:t>)</w:t>
            </w:r>
            <w:r w:rsidR="006E147D" w:rsidRPr="00587F7A">
              <w:rPr>
                <w:rFonts w:ascii="Arial" w:eastAsia="微軟正黑體" w:hAnsi="Arial"/>
                <w:szCs w:val="24"/>
              </w:rPr>
              <w:t xml:space="preserve"> </w:t>
            </w:r>
            <w:r w:rsidR="00182209" w:rsidRPr="00587F7A">
              <w:rPr>
                <w:rFonts w:ascii="Arial" w:eastAsia="微軟正黑體" w:hAnsi="Arial"/>
                <w:szCs w:val="24"/>
              </w:rPr>
              <w:t>The transformation output of the electricity is the gross power generation.</w:t>
            </w:r>
          </w:p>
          <w:p w14:paraId="27393BE9"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21</w:t>
            </w:r>
            <w:r w:rsidR="00AF33ED" w:rsidRPr="00587F7A">
              <w:rPr>
                <w:rFonts w:ascii="Arial" w:eastAsia="微軟正黑體" w:hAnsi="Arial"/>
                <w:szCs w:val="24"/>
                <w:u w:val="single"/>
              </w:rPr>
              <w:t xml:space="preserve"> </w:t>
            </w:r>
            <w:r w:rsidR="00AF33ED" w:rsidRPr="00587F7A">
              <w:rPr>
                <w:rFonts w:ascii="Arial" w:eastAsia="微軟正黑體" w:hAnsi="Arial" w:hint="eastAsia"/>
                <w:szCs w:val="24"/>
                <w:u w:val="single"/>
              </w:rPr>
              <w:t>(</w:t>
            </w:r>
            <w:proofErr w:type="gramStart"/>
            <w:r w:rsidR="00AF33ED" w:rsidRPr="00587F7A">
              <w:rPr>
                <w:rFonts w:ascii="Arial" w:eastAsia="微軟正黑體" w:hAnsi="Arial"/>
                <w:szCs w:val="24"/>
                <w:u w:val="single"/>
              </w:rPr>
              <w:t>Transfers(</w:t>
            </w:r>
            <w:proofErr w:type="gramEnd"/>
            <w:r w:rsidR="00AF33ED" w:rsidRPr="00587F7A">
              <w:rPr>
                <w:rFonts w:ascii="Arial" w:eastAsia="微軟正黑體" w:hAnsi="Arial"/>
                <w:szCs w:val="24"/>
                <w:u w:val="single"/>
              </w:rPr>
              <w:t>Output)</w:t>
            </w:r>
            <w:r w:rsidR="00AF33ED" w:rsidRPr="00587F7A">
              <w:rPr>
                <w:rFonts w:ascii="Arial" w:eastAsia="微軟正黑體" w:hAnsi="Arial" w:hint="eastAsia"/>
                <w:szCs w:val="24"/>
                <w:u w:val="single"/>
              </w:rPr>
              <w:t>)</w:t>
            </w:r>
          </w:p>
          <w:p w14:paraId="59BC112A" w14:textId="77777777" w:rsidR="00AF33ED" w:rsidRPr="00587F7A" w:rsidRDefault="00AF33ED" w:rsidP="00AF33E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 This refers to the inter-product transfer among the petroleum products.  The figures reflect quantities transferred into this oil product from other oil products.</w:t>
            </w:r>
          </w:p>
          <w:p w14:paraId="1EEB68F4" w14:textId="77777777" w:rsidR="00BB3576" w:rsidRPr="00587F7A" w:rsidRDefault="00AF33ED" w:rsidP="00AF33ED">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As for (domestic) natural gas, the figure reflects the quantity of NG (1) transferred from re-gasified LNG. As for imported LNG, the figure reflects the quantity NG (2) transferred from re-gasified LNG.</w:t>
            </w:r>
          </w:p>
        </w:tc>
      </w:tr>
      <w:tr w:rsidR="006F7470" w:rsidRPr="00587F7A" w14:paraId="0A2A15BE" w14:textId="77777777" w:rsidTr="004B48AD">
        <w:tc>
          <w:tcPr>
            <w:tcW w:w="9044" w:type="dxa"/>
            <w:tcBorders>
              <w:top w:val="single" w:sz="4" w:space="0" w:color="auto"/>
              <w:left w:val="single" w:sz="4" w:space="0" w:color="auto"/>
              <w:bottom w:val="single" w:sz="4" w:space="0" w:color="auto"/>
              <w:right w:val="single" w:sz="4" w:space="0" w:color="auto"/>
            </w:tcBorders>
            <w:hideMark/>
          </w:tcPr>
          <w:p w14:paraId="77BFA027" w14:textId="77777777" w:rsidR="00BB3576" w:rsidRPr="00587F7A" w:rsidRDefault="00BB3576" w:rsidP="004B48AD">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lastRenderedPageBreak/>
              <w:t xml:space="preserve">3. </w:t>
            </w:r>
            <w:r w:rsidRPr="00587F7A">
              <w:rPr>
                <w:rFonts w:ascii="Arial" w:eastAsia="微軟正黑體" w:hAnsi="Arial"/>
                <w:b/>
                <w:bCs/>
                <w:szCs w:val="24"/>
              </w:rPr>
              <w:t>Consumption side</w:t>
            </w:r>
          </w:p>
          <w:p w14:paraId="6B6793DF" w14:textId="2B7E5271" w:rsidR="00D34E3F" w:rsidRPr="00587F7A" w:rsidRDefault="00D34E3F" w:rsidP="004B48AD">
            <w:pPr>
              <w:pStyle w:val="a9"/>
              <w:overflowPunct w:val="0"/>
              <w:spacing w:line="340" w:lineRule="exact"/>
              <w:rPr>
                <w:rFonts w:ascii="Arial" w:eastAsia="微軟正黑體" w:hAnsi="Arial"/>
                <w:szCs w:val="24"/>
              </w:rPr>
            </w:pPr>
            <w:proofErr w:type="gramStart"/>
            <w:r w:rsidRPr="00587F7A">
              <w:rPr>
                <w:rFonts w:ascii="Arial" w:eastAsia="微軟正黑體" w:hAnsi="Arial" w:hint="eastAsia"/>
                <w:szCs w:val="24"/>
              </w:rPr>
              <w:t>【</w:t>
            </w:r>
            <w:proofErr w:type="gramEnd"/>
            <w:r w:rsidR="00B00E93" w:rsidRPr="00587F7A">
              <w:rPr>
                <w:rFonts w:ascii="Arial" w:eastAsia="微軟正黑體" w:hAnsi="Arial" w:hint="eastAsia"/>
                <w:szCs w:val="24"/>
              </w:rPr>
              <w:t>In line</w:t>
            </w:r>
            <w:r w:rsidRPr="00587F7A">
              <w:rPr>
                <w:rFonts w:ascii="Arial" w:eastAsia="微軟正黑體" w:hAnsi="Arial"/>
                <w:szCs w:val="24"/>
              </w:rPr>
              <w:t xml:space="preserve"> with the 11th industrial classification of the Directorate General of Budget, Accounting and Statistics (DGBAS) of Executive Yuan, </w:t>
            </w:r>
            <w:r w:rsidRPr="00587F7A">
              <w:rPr>
                <w:rFonts w:ascii="Arial" w:eastAsia="微軟正黑體" w:hAnsi="Arial" w:hint="eastAsia"/>
                <w:szCs w:val="24"/>
              </w:rPr>
              <w:t>t</w:t>
            </w:r>
            <w:r w:rsidRPr="00587F7A">
              <w:rPr>
                <w:rFonts w:ascii="Arial" w:eastAsia="微軟正黑體" w:hAnsi="Arial"/>
                <w:szCs w:val="24"/>
              </w:rPr>
              <w:t>he</w:t>
            </w:r>
            <w:r w:rsidR="00B00E93" w:rsidRPr="00587F7A">
              <w:rPr>
                <w:rFonts w:ascii="Arial" w:eastAsia="微軟正黑體" w:hAnsi="Arial" w:hint="eastAsia"/>
                <w:szCs w:val="24"/>
              </w:rPr>
              <w:t xml:space="preserve"> </w:t>
            </w:r>
            <w:r w:rsidR="00B00E93" w:rsidRPr="00587F7A">
              <w:rPr>
                <w:rFonts w:ascii="Arial" w:eastAsia="微軟正黑體" w:hAnsi="Arial"/>
                <w:szCs w:val="24"/>
              </w:rPr>
              <w:t>classification</w:t>
            </w:r>
            <w:r w:rsidR="00B00E93" w:rsidRPr="00587F7A">
              <w:rPr>
                <w:rFonts w:ascii="Arial" w:eastAsia="微軟正黑體" w:hAnsi="Arial" w:hint="eastAsia"/>
                <w:szCs w:val="24"/>
              </w:rPr>
              <w:t xml:space="preserve"> applied in Energy Balance have been revised from 2018 to present.</w:t>
            </w:r>
            <w:r w:rsidRPr="00587F7A">
              <w:rPr>
                <w:rFonts w:ascii="Arial" w:eastAsia="微軟正黑體" w:hAnsi="Arial" w:hint="eastAsia"/>
                <w:szCs w:val="24"/>
              </w:rPr>
              <w:t>】</w:t>
            </w:r>
          </w:p>
          <w:p w14:paraId="0D6FEBF0"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22</w:t>
            </w:r>
            <w:r w:rsidR="00F278D7" w:rsidRPr="00587F7A">
              <w:rPr>
                <w:rFonts w:ascii="Arial" w:eastAsia="微軟正黑體" w:hAnsi="Arial" w:hint="eastAsia"/>
                <w:szCs w:val="24"/>
                <w:u w:val="single"/>
              </w:rPr>
              <w:t xml:space="preserve"> </w:t>
            </w:r>
            <w:r w:rsidR="00F278D7" w:rsidRPr="00587F7A">
              <w:rPr>
                <w:rFonts w:ascii="Arial" w:eastAsia="微軟正黑體" w:hAnsi="Arial"/>
                <w:szCs w:val="24"/>
                <w:u w:val="single"/>
              </w:rPr>
              <w:t>(Energy Sector Own Use)</w:t>
            </w:r>
          </w:p>
          <w:p w14:paraId="19BAFBBB" w14:textId="77777777" w:rsidR="00F278D7"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This indicates the quantity of own-use in each energy transformation unit or energy industry, for example, the own use or station service of coal mining, coke ovens, blast furnaces, oil &amp; gas mining, oil refineries, electricity plants, electricity to pump up, and gas supply industry.  </w:t>
            </w:r>
          </w:p>
          <w:p w14:paraId="3557E87C" w14:textId="77777777" w:rsidR="00BB3576"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(2) Since refining companies in Taiwan also operate naphtha cracking plants, </w:t>
            </w:r>
            <w:r w:rsidRPr="00587F7A">
              <w:rPr>
                <w:rFonts w:ascii="Arial" w:eastAsia="微軟正黑體" w:hAnsi="Arial"/>
                <w:szCs w:val="24"/>
              </w:rPr>
              <w:lastRenderedPageBreak/>
              <w:t>energy data of petroleum refineries contains data which should have been classified into petrochemical materials in the industrial sector.</w:t>
            </w:r>
          </w:p>
          <w:p w14:paraId="087EB5B1" w14:textId="77777777" w:rsidR="00F278D7"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33</w:t>
            </w:r>
            <w:r w:rsidR="00F278D7" w:rsidRPr="00587F7A">
              <w:rPr>
                <w:rFonts w:ascii="Arial" w:eastAsia="微軟正黑體" w:hAnsi="Arial"/>
                <w:szCs w:val="24"/>
                <w:u w:val="single"/>
              </w:rPr>
              <w:t xml:space="preserve"> (Total Final Consumption, TFC)</w:t>
            </w:r>
          </w:p>
          <w:p w14:paraId="000CF636" w14:textId="6284ABE4" w:rsidR="00F278D7"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(1) This row is the sum of energy consumption and non-energy use, that is Row 33 = Row 34 + Row </w:t>
            </w:r>
            <w:r w:rsidR="00D34E3F" w:rsidRPr="00587F7A">
              <w:rPr>
                <w:rFonts w:ascii="Arial" w:eastAsia="微軟正黑體" w:hAnsi="Arial" w:hint="eastAsia"/>
                <w:szCs w:val="24"/>
              </w:rPr>
              <w:t>102</w:t>
            </w:r>
            <w:r w:rsidRPr="00587F7A">
              <w:rPr>
                <w:rFonts w:ascii="Arial" w:eastAsia="微軟正黑體" w:hAnsi="Arial"/>
                <w:szCs w:val="24"/>
              </w:rPr>
              <w:t>. The energy consumption is the summation of five final consuming sectors, namely industrial, transportation, agricultural, service, and residential sectors.</w:t>
            </w:r>
          </w:p>
          <w:p w14:paraId="0C4E1DDB" w14:textId="77777777" w:rsidR="00F278D7"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 xml:space="preserve">(2) The non-energy use is the quantity for use other than energy purpose.  </w:t>
            </w:r>
          </w:p>
          <w:p w14:paraId="2BDC22CB" w14:textId="77777777" w:rsidR="00BB3576"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 The estimated naphtha and LPG for petrochemical feedstocks are included in industrial sector. However, the petrochemical feed stocks are classified as non-energy use starting with 2007 edition of the OECD/IEA energy statistics.</w:t>
            </w:r>
          </w:p>
          <w:p w14:paraId="372F8AC6"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34</w:t>
            </w:r>
            <w:r w:rsidR="003D7010" w:rsidRPr="00587F7A">
              <w:rPr>
                <w:rFonts w:ascii="Arial" w:eastAsia="微軟正黑體" w:hAnsi="Arial" w:hint="eastAsia"/>
                <w:szCs w:val="24"/>
                <w:u w:val="single"/>
              </w:rPr>
              <w:t xml:space="preserve"> (</w:t>
            </w:r>
            <w:r w:rsidR="003D7010" w:rsidRPr="00587F7A">
              <w:rPr>
                <w:rFonts w:ascii="Arial" w:eastAsia="微軟正黑體" w:hAnsi="Arial"/>
                <w:szCs w:val="24"/>
                <w:u w:val="single"/>
              </w:rPr>
              <w:t>Energy Consumption</w:t>
            </w:r>
            <w:r w:rsidR="003D7010" w:rsidRPr="00587F7A">
              <w:rPr>
                <w:rFonts w:ascii="Arial" w:eastAsia="微軟正黑體" w:hAnsi="Arial" w:hint="eastAsia"/>
                <w:szCs w:val="24"/>
                <w:u w:val="single"/>
              </w:rPr>
              <w:t>)</w:t>
            </w:r>
          </w:p>
          <w:p w14:paraId="35EBAB11" w14:textId="02244B9F" w:rsidR="00BB3576" w:rsidRPr="00587F7A" w:rsidRDefault="003D7010" w:rsidP="004B48AD">
            <w:pPr>
              <w:pStyle w:val="a9"/>
              <w:overflowPunct w:val="0"/>
              <w:spacing w:line="340" w:lineRule="exact"/>
              <w:ind w:leftChars="150" w:left="360"/>
              <w:rPr>
                <w:rFonts w:ascii="Arial" w:eastAsia="微軟正黑體" w:hAnsi="Arial"/>
                <w:szCs w:val="24"/>
              </w:rPr>
            </w:pPr>
            <w:r w:rsidRPr="00587F7A">
              <w:rPr>
                <w:rFonts w:ascii="Arial" w:eastAsia="微軟正黑體" w:hAnsi="Arial" w:hint="eastAsia"/>
                <w:szCs w:val="24"/>
              </w:rPr>
              <w:t>Energy Consumption is classified by Industrial Sector, Transportation Sector, Agricultural Sector, Service Sector, and Residential Sector. Row 34</w:t>
            </w:r>
            <w:r w:rsidRPr="00587F7A">
              <w:rPr>
                <w:rFonts w:ascii="Arial" w:eastAsia="微軟正黑體" w:hAnsi="Arial" w:hint="eastAsia"/>
                <w:szCs w:val="24"/>
              </w:rPr>
              <w:t>＝</w:t>
            </w:r>
            <w:r w:rsidRPr="00587F7A">
              <w:rPr>
                <w:rFonts w:ascii="Arial" w:eastAsia="微軟正黑體" w:hAnsi="Arial" w:hint="eastAsia"/>
                <w:szCs w:val="24"/>
              </w:rPr>
              <w:t>Row 35</w:t>
            </w:r>
            <w:r w:rsidRPr="00587F7A">
              <w:rPr>
                <w:rFonts w:ascii="Arial" w:eastAsia="微軟正黑體" w:hAnsi="Arial" w:hint="eastAsia"/>
                <w:szCs w:val="24"/>
              </w:rPr>
              <w:t>＋</w:t>
            </w:r>
            <w:r w:rsidRPr="00587F7A">
              <w:rPr>
                <w:rFonts w:ascii="Arial" w:eastAsia="微軟正黑體" w:hAnsi="Arial" w:hint="eastAsia"/>
                <w:szCs w:val="24"/>
              </w:rPr>
              <w:t>Row 73</w:t>
            </w:r>
            <w:r w:rsidRPr="00587F7A">
              <w:rPr>
                <w:rFonts w:ascii="Arial" w:eastAsia="微軟正黑體" w:hAnsi="Arial" w:hint="eastAsia"/>
                <w:szCs w:val="24"/>
              </w:rPr>
              <w:t>＋</w:t>
            </w:r>
            <w:r w:rsidRPr="00587F7A">
              <w:rPr>
                <w:rFonts w:ascii="Arial" w:eastAsia="微軟正黑體" w:hAnsi="Arial" w:hint="eastAsia"/>
                <w:szCs w:val="24"/>
              </w:rPr>
              <w:t>Row 80</w:t>
            </w:r>
            <w:r w:rsidRPr="00587F7A">
              <w:rPr>
                <w:rFonts w:ascii="Arial" w:eastAsia="微軟正黑體" w:hAnsi="Arial" w:hint="eastAsia"/>
                <w:szCs w:val="24"/>
              </w:rPr>
              <w:t>＋</w:t>
            </w:r>
            <w:r w:rsidRPr="00587F7A">
              <w:rPr>
                <w:rFonts w:ascii="Arial" w:eastAsia="微軟正黑體" w:hAnsi="Arial" w:hint="eastAsia"/>
                <w:szCs w:val="24"/>
              </w:rPr>
              <w:t>Row 83</w:t>
            </w:r>
            <w:r w:rsidRPr="00587F7A">
              <w:rPr>
                <w:rFonts w:ascii="Arial" w:eastAsia="微軟正黑體" w:hAnsi="Arial" w:hint="eastAsia"/>
                <w:szCs w:val="24"/>
              </w:rPr>
              <w:t>＋</w:t>
            </w:r>
            <w:r w:rsidRPr="00587F7A">
              <w:rPr>
                <w:rFonts w:ascii="Arial" w:eastAsia="微軟正黑體" w:hAnsi="Arial" w:hint="eastAsia"/>
                <w:szCs w:val="24"/>
              </w:rPr>
              <w:t xml:space="preserve">Row </w:t>
            </w:r>
            <w:r w:rsidR="00D34E3F" w:rsidRPr="00587F7A">
              <w:rPr>
                <w:rFonts w:ascii="Arial" w:eastAsia="微軟正黑體" w:hAnsi="Arial" w:hint="eastAsia"/>
                <w:szCs w:val="24"/>
              </w:rPr>
              <w:t>101</w:t>
            </w:r>
            <w:r w:rsidRPr="00587F7A">
              <w:rPr>
                <w:rFonts w:ascii="Arial" w:eastAsia="微軟正黑體" w:hAnsi="Arial" w:hint="eastAsia"/>
                <w:szCs w:val="24"/>
              </w:rPr>
              <w:t>.</w:t>
            </w:r>
          </w:p>
          <w:p w14:paraId="2D0E7C8D"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35</w:t>
            </w:r>
            <w:r w:rsidR="003D7010" w:rsidRPr="00587F7A">
              <w:rPr>
                <w:rFonts w:ascii="Arial" w:eastAsia="微軟正黑體" w:hAnsi="Arial" w:hint="eastAsia"/>
                <w:szCs w:val="24"/>
                <w:u w:val="single"/>
              </w:rPr>
              <w:t xml:space="preserve"> (</w:t>
            </w:r>
            <w:r w:rsidR="003D7010" w:rsidRPr="00587F7A">
              <w:rPr>
                <w:rFonts w:ascii="Arial" w:eastAsia="微軟正黑體" w:hAnsi="Arial"/>
                <w:szCs w:val="24"/>
                <w:u w:val="single"/>
              </w:rPr>
              <w:t>Industrial Sector</w:t>
            </w:r>
            <w:r w:rsidR="003D7010" w:rsidRPr="00587F7A">
              <w:rPr>
                <w:rFonts w:ascii="Arial" w:eastAsia="微軟正黑體" w:hAnsi="Arial" w:hint="eastAsia"/>
                <w:szCs w:val="24"/>
                <w:u w:val="single"/>
              </w:rPr>
              <w:t>)</w:t>
            </w:r>
          </w:p>
          <w:p w14:paraId="1FCCEABE" w14:textId="77777777" w:rsidR="003D7010" w:rsidRPr="00587F7A" w:rsidRDefault="003D7010" w:rsidP="003D7010">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w:t>
            </w:r>
            <w:r w:rsidRPr="00587F7A">
              <w:rPr>
                <w:rFonts w:ascii="Arial" w:eastAsia="微軟正黑體" w:hAnsi="Arial" w:hint="eastAsia"/>
                <w:szCs w:val="24"/>
              </w:rPr>
              <w:t xml:space="preserve"> </w:t>
            </w:r>
            <w:r w:rsidRPr="00587F7A">
              <w:rPr>
                <w:rFonts w:ascii="Arial" w:eastAsia="微軟正黑體" w:hAnsi="Arial"/>
                <w:szCs w:val="24"/>
              </w:rPr>
              <w:t>This includes mining (excluding coal mining, oil and gas mining), manufacturing industries (except for coal products, oil refineries), water supply, sewerage, waste management and remediation activities, and construction.</w:t>
            </w:r>
          </w:p>
          <w:p w14:paraId="1356335F" w14:textId="77777777" w:rsidR="003D7010" w:rsidRPr="00587F7A" w:rsidRDefault="003D7010" w:rsidP="003D7010">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hint="eastAsia"/>
                <w:szCs w:val="24"/>
              </w:rPr>
              <w:t xml:space="preserve"> </w:t>
            </w:r>
            <w:r w:rsidRPr="00587F7A">
              <w:rPr>
                <w:rFonts w:ascii="Arial" w:eastAsia="微軟正黑體" w:hAnsi="Arial"/>
                <w:szCs w:val="24"/>
              </w:rPr>
              <w:t>Due to industrial transformation, business diversification and collective purchasing, the industrial classification of major energy users exists uncertainty. The industry level energy consumption data should be used with caution.</w:t>
            </w:r>
          </w:p>
          <w:p w14:paraId="6CFD8DC3" w14:textId="77777777" w:rsidR="00BB3576" w:rsidRPr="00587F7A" w:rsidRDefault="003D7010" w:rsidP="003D7010">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w:t>
            </w:r>
            <w:r w:rsidRPr="00587F7A">
              <w:rPr>
                <w:rFonts w:ascii="Arial" w:eastAsia="微軟正黑體" w:hAnsi="Arial" w:hint="eastAsia"/>
                <w:szCs w:val="24"/>
              </w:rPr>
              <w:t xml:space="preserve"> </w:t>
            </w:r>
            <w:r w:rsidRPr="00587F7A">
              <w:rPr>
                <w:rFonts w:ascii="Arial" w:eastAsia="微軟正黑體" w:hAnsi="Arial"/>
                <w:szCs w:val="24"/>
              </w:rPr>
              <w:t>Due to the lack of detailed petroleum product data, the data for the sub-industry under Chemical Materials is incomplete.</w:t>
            </w:r>
          </w:p>
          <w:p w14:paraId="56347244"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73</w:t>
            </w:r>
            <w:r w:rsidR="003D7010" w:rsidRPr="00587F7A">
              <w:rPr>
                <w:rFonts w:ascii="Arial" w:eastAsia="微軟正黑體" w:hAnsi="Arial" w:hint="eastAsia"/>
                <w:szCs w:val="24"/>
                <w:u w:val="single"/>
              </w:rPr>
              <w:t xml:space="preserve"> (</w:t>
            </w:r>
            <w:r w:rsidR="003D7010" w:rsidRPr="00587F7A">
              <w:rPr>
                <w:rFonts w:ascii="Arial" w:eastAsia="微軟正黑體" w:hAnsi="Arial"/>
                <w:szCs w:val="24"/>
                <w:u w:val="single"/>
              </w:rPr>
              <w:t>Transportation Sector</w:t>
            </w:r>
            <w:r w:rsidR="003D7010" w:rsidRPr="00587F7A">
              <w:rPr>
                <w:rFonts w:ascii="Arial" w:eastAsia="微軟正黑體" w:hAnsi="Arial" w:hint="eastAsia"/>
                <w:szCs w:val="24"/>
                <w:u w:val="single"/>
              </w:rPr>
              <w:t>)</w:t>
            </w:r>
          </w:p>
          <w:p w14:paraId="3510816E" w14:textId="77777777" w:rsidR="003D7010" w:rsidRPr="00587F7A" w:rsidRDefault="003D7010" w:rsidP="003D7010">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w:t>
            </w:r>
            <w:r w:rsidRPr="00587F7A">
              <w:rPr>
                <w:rFonts w:ascii="Arial" w:eastAsia="微軟正黑體" w:hAnsi="Arial" w:hint="eastAsia"/>
                <w:szCs w:val="24"/>
              </w:rPr>
              <w:t xml:space="preserve"> </w:t>
            </w:r>
            <w:r w:rsidRPr="00587F7A">
              <w:rPr>
                <w:rFonts w:ascii="Arial" w:eastAsia="微軟正黑體" w:hAnsi="Arial"/>
                <w:szCs w:val="24"/>
              </w:rPr>
              <w:t>This includes basically the energy consumption for transport in domestic air, road, railroad, pipeline, and internal navigation (excluding international marine bunkers and international civil aviation).</w:t>
            </w:r>
          </w:p>
          <w:p w14:paraId="554233EC" w14:textId="77777777" w:rsidR="003D7010" w:rsidRPr="00587F7A" w:rsidRDefault="003D7010" w:rsidP="003D7010">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w:t>
            </w:r>
            <w:r w:rsidRPr="00587F7A">
              <w:rPr>
                <w:rFonts w:ascii="Arial" w:eastAsia="微軟正黑體" w:hAnsi="Arial" w:hint="eastAsia"/>
                <w:szCs w:val="24"/>
              </w:rPr>
              <w:t xml:space="preserve"> </w:t>
            </w:r>
            <w:r w:rsidRPr="00587F7A">
              <w:rPr>
                <w:rFonts w:ascii="Arial" w:eastAsia="微軟正黑體" w:hAnsi="Arial"/>
                <w:szCs w:val="24"/>
              </w:rPr>
              <w:t>Therefore</w:t>
            </w:r>
            <w:r w:rsidRPr="00587F7A">
              <w:rPr>
                <w:rFonts w:ascii="Arial" w:eastAsia="微軟正黑體" w:hAnsi="Arial" w:hint="eastAsia"/>
                <w:szCs w:val="24"/>
              </w:rPr>
              <w:t>,</w:t>
            </w:r>
            <w:r w:rsidRPr="00587F7A">
              <w:rPr>
                <w:rFonts w:ascii="Arial" w:eastAsia="微軟正黑體" w:hAnsi="Arial"/>
                <w:szCs w:val="24"/>
              </w:rPr>
              <w:t xml:space="preserve"> the electricity for tracks, for example, is shown in railroad while that for platform lighting and office use is included in “Services Sector\Transport Services”.</w:t>
            </w:r>
          </w:p>
          <w:p w14:paraId="67CED234" w14:textId="77777777" w:rsidR="00BB3576" w:rsidRPr="00587F7A" w:rsidRDefault="003D7010" w:rsidP="003D7010">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(3)</w:t>
            </w:r>
            <w:r w:rsidRPr="00587F7A">
              <w:rPr>
                <w:rFonts w:ascii="Arial" w:eastAsia="微軟正黑體" w:hAnsi="Arial" w:hint="eastAsia"/>
                <w:szCs w:val="24"/>
              </w:rPr>
              <w:t xml:space="preserve"> </w:t>
            </w:r>
            <w:r w:rsidRPr="00587F7A">
              <w:rPr>
                <w:rFonts w:ascii="Arial" w:eastAsia="微軟正黑體" w:hAnsi="Arial"/>
                <w:szCs w:val="24"/>
              </w:rPr>
              <w:t>The international civil aviation which appears between “International Marine Bunkers” and “Stocks Changes” starting with 2009 edition of OECD/IEA Energy Balances remains in Transportation Sector in these Balances.</w:t>
            </w:r>
          </w:p>
          <w:p w14:paraId="0462FD32"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80</w:t>
            </w:r>
            <w:r w:rsidR="0049277E" w:rsidRPr="00587F7A">
              <w:rPr>
                <w:rFonts w:ascii="Arial" w:eastAsia="微軟正黑體" w:hAnsi="Arial" w:hint="eastAsia"/>
                <w:szCs w:val="24"/>
                <w:u w:val="single"/>
              </w:rPr>
              <w:t xml:space="preserve"> </w:t>
            </w:r>
            <w:r w:rsidR="0049277E" w:rsidRPr="00587F7A">
              <w:rPr>
                <w:rFonts w:ascii="Arial" w:eastAsia="微軟正黑體" w:hAnsi="Arial"/>
                <w:szCs w:val="24"/>
                <w:u w:val="single"/>
              </w:rPr>
              <w:t>(Agricultural Sector</w:t>
            </w:r>
            <w:r w:rsidR="0049277E" w:rsidRPr="00587F7A">
              <w:rPr>
                <w:rFonts w:ascii="Arial" w:eastAsia="微軟正黑體" w:hAnsi="Arial" w:hint="eastAsia"/>
                <w:szCs w:val="24"/>
                <w:u w:val="single"/>
              </w:rPr>
              <w:t>)</w:t>
            </w:r>
          </w:p>
          <w:p w14:paraId="649814A5" w14:textId="77777777" w:rsidR="00BB3576" w:rsidRPr="00587F7A" w:rsidRDefault="0049277E" w:rsidP="004B48AD">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This includes agriculture, animal husbandry and forestry, fishing and aquaculture, as was in the old format.</w:t>
            </w:r>
          </w:p>
          <w:p w14:paraId="395CE199"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83</w:t>
            </w:r>
            <w:r w:rsidR="0049277E" w:rsidRPr="00587F7A">
              <w:rPr>
                <w:rFonts w:ascii="Arial" w:eastAsia="微軟正黑體" w:hAnsi="Arial" w:hint="eastAsia"/>
                <w:szCs w:val="24"/>
                <w:u w:val="single"/>
              </w:rPr>
              <w:t xml:space="preserve"> </w:t>
            </w:r>
            <w:r w:rsidR="0049277E" w:rsidRPr="00587F7A">
              <w:rPr>
                <w:rFonts w:ascii="Arial" w:eastAsia="微軟正黑體" w:hAnsi="Arial"/>
                <w:szCs w:val="24"/>
                <w:u w:val="single"/>
              </w:rPr>
              <w:t>(Service Sector</w:t>
            </w:r>
            <w:r w:rsidR="0049277E" w:rsidRPr="00587F7A">
              <w:rPr>
                <w:rFonts w:ascii="Arial" w:eastAsia="微軟正黑體" w:hAnsi="Arial" w:hint="eastAsia"/>
                <w:szCs w:val="24"/>
                <w:u w:val="single"/>
              </w:rPr>
              <w:t>)</w:t>
            </w:r>
          </w:p>
          <w:p w14:paraId="3B477463" w14:textId="6EC1385E" w:rsidR="00BB3576" w:rsidRPr="00587F7A" w:rsidRDefault="0049277E" w:rsidP="00C66AC6">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 xml:space="preserve">This sector includes the energy consumption of the wholesale and retail, </w:t>
            </w:r>
            <w:r w:rsidR="00D34E3F" w:rsidRPr="00587F7A">
              <w:rPr>
                <w:rFonts w:ascii="Arial" w:eastAsia="微軟正黑體" w:hAnsi="Arial"/>
                <w:szCs w:val="24"/>
              </w:rPr>
              <w:t xml:space="preserve">transport </w:t>
            </w:r>
            <w:r w:rsidR="00D34E3F" w:rsidRPr="00587F7A">
              <w:rPr>
                <w:rFonts w:ascii="Arial" w:eastAsia="微軟正黑體" w:hAnsi="Arial" w:hint="eastAsia"/>
                <w:szCs w:val="24"/>
              </w:rPr>
              <w:t>and</w:t>
            </w:r>
            <w:r w:rsidR="00D34E3F" w:rsidRPr="00587F7A">
              <w:rPr>
                <w:rFonts w:ascii="Arial" w:eastAsia="微軟正黑體" w:hAnsi="Arial"/>
                <w:szCs w:val="24"/>
              </w:rPr>
              <w:t xml:space="preserve"> storage</w:t>
            </w:r>
            <w:r w:rsidR="00D34E3F" w:rsidRPr="00587F7A">
              <w:rPr>
                <w:rFonts w:ascii="Arial" w:eastAsia="微軟正黑體" w:hAnsi="Arial" w:hint="eastAsia"/>
                <w:szCs w:val="24"/>
              </w:rPr>
              <w:t>, a</w:t>
            </w:r>
            <w:r w:rsidR="00D34E3F" w:rsidRPr="00587F7A">
              <w:rPr>
                <w:rFonts w:ascii="Arial" w:eastAsia="微軟正黑體" w:hAnsi="Arial"/>
                <w:szCs w:val="24"/>
              </w:rPr>
              <w:t xml:space="preserve">ccommodation and </w:t>
            </w:r>
            <w:r w:rsidR="00D34E3F" w:rsidRPr="00587F7A">
              <w:rPr>
                <w:rFonts w:ascii="Arial" w:eastAsia="微軟正黑體" w:hAnsi="Arial" w:hint="eastAsia"/>
                <w:szCs w:val="24"/>
              </w:rPr>
              <w:t>f</w:t>
            </w:r>
            <w:r w:rsidR="00D34E3F" w:rsidRPr="00587F7A">
              <w:rPr>
                <w:rFonts w:ascii="Arial" w:eastAsia="微軟正黑體" w:hAnsi="Arial"/>
                <w:szCs w:val="24"/>
              </w:rPr>
              <w:t xml:space="preserve">ood </w:t>
            </w:r>
            <w:r w:rsidR="00D34E3F" w:rsidRPr="00587F7A">
              <w:rPr>
                <w:rFonts w:ascii="Arial" w:eastAsia="微軟正黑體" w:hAnsi="Arial" w:hint="eastAsia"/>
                <w:szCs w:val="24"/>
              </w:rPr>
              <w:t>s</w:t>
            </w:r>
            <w:r w:rsidR="00D34E3F" w:rsidRPr="00587F7A">
              <w:rPr>
                <w:rFonts w:ascii="Arial" w:eastAsia="微軟正黑體" w:hAnsi="Arial"/>
                <w:szCs w:val="24"/>
              </w:rPr>
              <w:t>ervice</w:t>
            </w:r>
            <w:r w:rsidR="00D34E3F" w:rsidRPr="00587F7A">
              <w:rPr>
                <w:rFonts w:ascii="Arial" w:eastAsia="微軟正黑體" w:hAnsi="Arial" w:hint="eastAsia"/>
                <w:szCs w:val="24"/>
              </w:rPr>
              <w:t>,</w:t>
            </w:r>
            <w:r w:rsidR="00D34E3F" w:rsidRPr="00587F7A">
              <w:rPr>
                <w:rFonts w:ascii="Arial" w:eastAsia="微軟正黑體" w:hAnsi="Arial"/>
                <w:szCs w:val="24"/>
              </w:rPr>
              <w:t xml:space="preserve"> </w:t>
            </w:r>
            <w:r w:rsidR="00D34E3F" w:rsidRPr="00587F7A">
              <w:rPr>
                <w:rFonts w:ascii="Arial" w:eastAsia="微軟正黑體" w:hAnsi="Arial" w:hint="eastAsia"/>
                <w:szCs w:val="24"/>
              </w:rPr>
              <w:t>i</w:t>
            </w:r>
            <w:r w:rsidR="00D34E3F" w:rsidRPr="00587F7A">
              <w:rPr>
                <w:rFonts w:ascii="Arial" w:eastAsia="微軟正黑體" w:hAnsi="Arial"/>
                <w:szCs w:val="24"/>
              </w:rPr>
              <w:t xml:space="preserve">nformation and </w:t>
            </w:r>
            <w:r w:rsidR="00D34E3F" w:rsidRPr="00587F7A">
              <w:rPr>
                <w:rFonts w:ascii="Arial" w:eastAsia="微軟正黑體" w:hAnsi="Arial" w:hint="eastAsia"/>
                <w:szCs w:val="24"/>
              </w:rPr>
              <w:t>c</w:t>
            </w:r>
            <w:r w:rsidR="00D34E3F" w:rsidRPr="00587F7A">
              <w:rPr>
                <w:rFonts w:ascii="Arial" w:eastAsia="微軟正黑體" w:hAnsi="Arial"/>
                <w:szCs w:val="24"/>
              </w:rPr>
              <w:t>ommunication</w:t>
            </w:r>
            <w:r w:rsidR="00D34E3F" w:rsidRPr="00587F7A">
              <w:rPr>
                <w:rFonts w:ascii="Arial" w:eastAsia="微軟正黑體" w:hAnsi="Arial" w:hint="eastAsia"/>
                <w:szCs w:val="24"/>
              </w:rPr>
              <w:t>, f</w:t>
            </w:r>
            <w:r w:rsidR="00D34E3F" w:rsidRPr="00587F7A">
              <w:rPr>
                <w:rFonts w:ascii="Arial" w:eastAsia="微軟正黑體" w:hAnsi="Arial"/>
                <w:szCs w:val="24"/>
              </w:rPr>
              <w:t xml:space="preserve">inance and </w:t>
            </w:r>
            <w:r w:rsidR="00D34E3F" w:rsidRPr="00587F7A">
              <w:rPr>
                <w:rFonts w:ascii="Arial" w:eastAsia="微軟正黑體" w:hAnsi="Arial" w:hint="eastAsia"/>
                <w:szCs w:val="24"/>
              </w:rPr>
              <w:t>i</w:t>
            </w:r>
            <w:r w:rsidR="00D34E3F" w:rsidRPr="00587F7A">
              <w:rPr>
                <w:rFonts w:ascii="Arial" w:eastAsia="微軟正黑體" w:hAnsi="Arial"/>
                <w:szCs w:val="24"/>
              </w:rPr>
              <w:t>nsurance</w:t>
            </w:r>
            <w:r w:rsidR="00D34E3F" w:rsidRPr="00587F7A">
              <w:rPr>
                <w:rFonts w:ascii="Arial" w:eastAsia="微軟正黑體" w:hAnsi="Arial" w:hint="eastAsia"/>
                <w:szCs w:val="24"/>
              </w:rPr>
              <w:t>, r</w:t>
            </w:r>
            <w:r w:rsidR="00D34E3F" w:rsidRPr="00587F7A">
              <w:rPr>
                <w:rFonts w:ascii="Arial" w:eastAsia="微軟正黑體" w:hAnsi="Arial"/>
                <w:szCs w:val="24"/>
              </w:rPr>
              <w:t xml:space="preserve">eal </w:t>
            </w:r>
            <w:r w:rsidR="00D34E3F" w:rsidRPr="00587F7A">
              <w:rPr>
                <w:rFonts w:ascii="Arial" w:eastAsia="微軟正黑體" w:hAnsi="Arial" w:hint="eastAsia"/>
                <w:szCs w:val="24"/>
              </w:rPr>
              <w:t>e</w:t>
            </w:r>
            <w:r w:rsidR="00D34E3F" w:rsidRPr="00587F7A">
              <w:rPr>
                <w:rFonts w:ascii="Arial" w:eastAsia="微軟正黑體" w:hAnsi="Arial"/>
                <w:szCs w:val="24"/>
              </w:rPr>
              <w:t>state</w:t>
            </w:r>
            <w:r w:rsidR="00D34E3F" w:rsidRPr="00587F7A">
              <w:rPr>
                <w:rFonts w:ascii="Arial" w:eastAsia="微軟正黑體" w:hAnsi="Arial" w:hint="eastAsia"/>
                <w:szCs w:val="24"/>
              </w:rPr>
              <w:t>, p</w:t>
            </w:r>
            <w:r w:rsidR="00D34E3F" w:rsidRPr="00587F7A">
              <w:rPr>
                <w:rFonts w:ascii="Arial" w:eastAsia="微軟正黑體" w:hAnsi="Arial"/>
                <w:szCs w:val="24"/>
              </w:rPr>
              <w:t xml:space="preserve">rofessional, </w:t>
            </w:r>
            <w:r w:rsidR="00D34E3F" w:rsidRPr="00587F7A">
              <w:rPr>
                <w:rFonts w:ascii="Arial" w:eastAsia="微軟正黑體" w:hAnsi="Arial" w:hint="eastAsia"/>
                <w:szCs w:val="24"/>
              </w:rPr>
              <w:t>s</w:t>
            </w:r>
            <w:r w:rsidR="00D34E3F" w:rsidRPr="00587F7A">
              <w:rPr>
                <w:rFonts w:ascii="Arial" w:eastAsia="微軟正黑體" w:hAnsi="Arial"/>
                <w:szCs w:val="24"/>
              </w:rPr>
              <w:t xml:space="preserve">cientific and </w:t>
            </w:r>
            <w:r w:rsidR="00D34E3F" w:rsidRPr="00587F7A">
              <w:rPr>
                <w:rFonts w:ascii="Arial" w:eastAsia="微軟正黑體" w:hAnsi="Arial" w:hint="eastAsia"/>
                <w:szCs w:val="24"/>
              </w:rPr>
              <w:t>t</w:t>
            </w:r>
            <w:r w:rsidR="00D34E3F" w:rsidRPr="00587F7A">
              <w:rPr>
                <w:rFonts w:ascii="Arial" w:eastAsia="微軟正黑體" w:hAnsi="Arial"/>
                <w:szCs w:val="24"/>
              </w:rPr>
              <w:t>echnical</w:t>
            </w:r>
            <w:r w:rsidR="00D34E3F" w:rsidRPr="00587F7A">
              <w:rPr>
                <w:rFonts w:ascii="Arial" w:eastAsia="微軟正黑體" w:hAnsi="Arial" w:hint="eastAsia"/>
                <w:szCs w:val="24"/>
              </w:rPr>
              <w:t xml:space="preserve">, </w:t>
            </w:r>
            <w:r w:rsidR="00C66AC6" w:rsidRPr="00587F7A">
              <w:rPr>
                <w:rFonts w:ascii="Arial" w:eastAsia="微軟正黑體" w:hAnsi="Arial" w:hint="eastAsia"/>
                <w:szCs w:val="24"/>
              </w:rPr>
              <w:t>s</w:t>
            </w:r>
            <w:r w:rsidR="00C66AC6" w:rsidRPr="00587F7A">
              <w:rPr>
                <w:rFonts w:ascii="Arial" w:eastAsia="微軟正黑體" w:hAnsi="Arial"/>
                <w:szCs w:val="24"/>
              </w:rPr>
              <w:t xml:space="preserve">upport </w:t>
            </w:r>
            <w:r w:rsidR="00C66AC6" w:rsidRPr="00587F7A">
              <w:rPr>
                <w:rFonts w:ascii="Arial" w:eastAsia="微軟正黑體" w:hAnsi="Arial" w:hint="eastAsia"/>
                <w:szCs w:val="24"/>
              </w:rPr>
              <w:t>s</w:t>
            </w:r>
            <w:r w:rsidR="00C66AC6" w:rsidRPr="00587F7A">
              <w:rPr>
                <w:rFonts w:ascii="Arial" w:eastAsia="微軟正黑體" w:hAnsi="Arial"/>
                <w:szCs w:val="24"/>
              </w:rPr>
              <w:t>ervice</w:t>
            </w:r>
            <w:r w:rsidR="00C66AC6" w:rsidRPr="00587F7A">
              <w:rPr>
                <w:rFonts w:ascii="Arial" w:eastAsia="微軟正黑體" w:hAnsi="Arial" w:hint="eastAsia"/>
                <w:szCs w:val="24"/>
              </w:rPr>
              <w:t>,</w:t>
            </w:r>
            <w:r w:rsidR="00C66AC6" w:rsidRPr="00587F7A">
              <w:rPr>
                <w:rFonts w:ascii="Arial" w:eastAsia="微軟正黑體" w:hAnsi="Arial"/>
                <w:szCs w:val="24"/>
              </w:rPr>
              <w:t xml:space="preserve"> </w:t>
            </w:r>
            <w:r w:rsidR="00C66AC6" w:rsidRPr="00587F7A">
              <w:rPr>
                <w:rFonts w:ascii="Arial" w:eastAsia="微軟正黑體" w:hAnsi="Arial" w:hint="eastAsia"/>
                <w:szCs w:val="24"/>
              </w:rPr>
              <w:t>p</w:t>
            </w:r>
            <w:r w:rsidR="00C66AC6" w:rsidRPr="00587F7A">
              <w:rPr>
                <w:rFonts w:ascii="Arial" w:eastAsia="微軟正黑體" w:hAnsi="Arial"/>
                <w:szCs w:val="24"/>
              </w:rPr>
              <w:t xml:space="preserve">ublic </w:t>
            </w:r>
            <w:r w:rsidR="00C66AC6" w:rsidRPr="00587F7A">
              <w:rPr>
                <w:rFonts w:ascii="Arial" w:eastAsia="微軟正黑體" w:hAnsi="Arial" w:hint="eastAsia"/>
                <w:szCs w:val="24"/>
              </w:rPr>
              <w:t>a</w:t>
            </w:r>
            <w:r w:rsidR="00C66AC6" w:rsidRPr="00587F7A">
              <w:rPr>
                <w:rFonts w:ascii="Arial" w:eastAsia="微軟正黑體" w:hAnsi="Arial"/>
                <w:szCs w:val="24"/>
              </w:rPr>
              <w:t xml:space="preserve">dministration and </w:t>
            </w:r>
            <w:proofErr w:type="spellStart"/>
            <w:r w:rsidR="00C66AC6" w:rsidRPr="00587F7A">
              <w:rPr>
                <w:rFonts w:ascii="Arial" w:eastAsia="微軟正黑體" w:hAnsi="Arial" w:hint="eastAsia"/>
                <w:szCs w:val="24"/>
              </w:rPr>
              <w:t>d</w:t>
            </w:r>
            <w:r w:rsidR="00C66AC6" w:rsidRPr="00587F7A">
              <w:rPr>
                <w:rFonts w:ascii="Arial" w:eastAsia="微軟正黑體" w:hAnsi="Arial"/>
                <w:szCs w:val="24"/>
              </w:rPr>
              <w:t>efence</w:t>
            </w:r>
            <w:proofErr w:type="spellEnd"/>
            <w:r w:rsidR="00C66AC6" w:rsidRPr="00587F7A">
              <w:rPr>
                <w:rFonts w:ascii="Arial" w:eastAsia="微軟正黑體" w:hAnsi="Arial" w:hint="eastAsia"/>
                <w:szCs w:val="24"/>
              </w:rPr>
              <w:t>, e</w:t>
            </w:r>
            <w:r w:rsidR="00C66AC6" w:rsidRPr="00587F7A">
              <w:rPr>
                <w:rFonts w:ascii="Arial" w:eastAsia="微軟正黑體" w:hAnsi="Arial"/>
                <w:szCs w:val="24"/>
              </w:rPr>
              <w:t>ducation</w:t>
            </w:r>
            <w:r w:rsidR="00C66AC6" w:rsidRPr="00587F7A">
              <w:rPr>
                <w:rFonts w:ascii="Arial" w:eastAsia="微軟正黑體" w:hAnsi="Arial" w:hint="eastAsia"/>
                <w:szCs w:val="24"/>
              </w:rPr>
              <w:t>, h</w:t>
            </w:r>
            <w:r w:rsidR="00C66AC6" w:rsidRPr="00587F7A">
              <w:rPr>
                <w:rFonts w:ascii="Arial" w:eastAsia="微軟正黑體" w:hAnsi="Arial"/>
                <w:szCs w:val="24"/>
              </w:rPr>
              <w:t xml:space="preserve">uman </w:t>
            </w:r>
            <w:r w:rsidR="00C66AC6" w:rsidRPr="00587F7A">
              <w:rPr>
                <w:rFonts w:ascii="Arial" w:eastAsia="微軟正黑體" w:hAnsi="Arial" w:hint="eastAsia"/>
                <w:szCs w:val="24"/>
              </w:rPr>
              <w:lastRenderedPageBreak/>
              <w:t>h</w:t>
            </w:r>
            <w:r w:rsidR="00C66AC6" w:rsidRPr="00587F7A">
              <w:rPr>
                <w:rFonts w:ascii="Arial" w:eastAsia="微軟正黑體" w:hAnsi="Arial"/>
                <w:szCs w:val="24"/>
              </w:rPr>
              <w:t xml:space="preserve">ealth and </w:t>
            </w:r>
            <w:r w:rsidR="00C66AC6" w:rsidRPr="00587F7A">
              <w:rPr>
                <w:rFonts w:ascii="Arial" w:eastAsia="微軟正黑體" w:hAnsi="Arial" w:hint="eastAsia"/>
                <w:szCs w:val="24"/>
              </w:rPr>
              <w:t>s</w:t>
            </w:r>
            <w:r w:rsidR="00C66AC6" w:rsidRPr="00587F7A">
              <w:rPr>
                <w:rFonts w:ascii="Arial" w:eastAsia="微軟正黑體" w:hAnsi="Arial"/>
                <w:szCs w:val="24"/>
              </w:rPr>
              <w:t xml:space="preserve">ocial </w:t>
            </w:r>
            <w:r w:rsidR="00C66AC6" w:rsidRPr="00587F7A">
              <w:rPr>
                <w:rFonts w:ascii="Arial" w:eastAsia="微軟正黑體" w:hAnsi="Arial" w:hint="eastAsia"/>
                <w:szCs w:val="24"/>
              </w:rPr>
              <w:t>w</w:t>
            </w:r>
            <w:r w:rsidR="00C66AC6" w:rsidRPr="00587F7A">
              <w:rPr>
                <w:rFonts w:ascii="Arial" w:eastAsia="微軟正黑體" w:hAnsi="Arial"/>
                <w:szCs w:val="24"/>
              </w:rPr>
              <w:t>ork</w:t>
            </w:r>
            <w:r w:rsidR="00C66AC6" w:rsidRPr="00587F7A">
              <w:rPr>
                <w:rFonts w:ascii="Arial" w:eastAsia="微軟正黑體" w:hAnsi="Arial" w:hint="eastAsia"/>
                <w:szCs w:val="24"/>
              </w:rPr>
              <w:t>, a</w:t>
            </w:r>
            <w:r w:rsidR="00C66AC6" w:rsidRPr="00587F7A">
              <w:rPr>
                <w:rFonts w:ascii="Arial" w:eastAsia="微軟正黑體" w:hAnsi="Arial"/>
                <w:szCs w:val="24"/>
              </w:rPr>
              <w:t xml:space="preserve">rts, </w:t>
            </w:r>
            <w:r w:rsidR="00C66AC6" w:rsidRPr="00587F7A">
              <w:rPr>
                <w:rFonts w:ascii="Arial" w:eastAsia="微軟正黑體" w:hAnsi="Arial" w:hint="eastAsia"/>
                <w:szCs w:val="24"/>
              </w:rPr>
              <w:t>e</w:t>
            </w:r>
            <w:r w:rsidR="00C66AC6" w:rsidRPr="00587F7A">
              <w:rPr>
                <w:rFonts w:ascii="Arial" w:eastAsia="微軟正黑體" w:hAnsi="Arial"/>
                <w:szCs w:val="24"/>
              </w:rPr>
              <w:t xml:space="preserve">ntertainment and </w:t>
            </w:r>
            <w:r w:rsidR="00C66AC6" w:rsidRPr="00587F7A">
              <w:rPr>
                <w:rFonts w:ascii="Arial" w:eastAsia="微軟正黑體" w:hAnsi="Arial" w:hint="eastAsia"/>
                <w:szCs w:val="24"/>
              </w:rPr>
              <w:t>r</w:t>
            </w:r>
            <w:r w:rsidR="00C66AC6" w:rsidRPr="00587F7A">
              <w:rPr>
                <w:rFonts w:ascii="Arial" w:eastAsia="微軟正黑體" w:hAnsi="Arial"/>
                <w:szCs w:val="24"/>
              </w:rPr>
              <w:t>ecreation</w:t>
            </w:r>
            <w:r w:rsidR="00C66AC6" w:rsidRPr="00587F7A">
              <w:rPr>
                <w:rFonts w:ascii="Arial" w:eastAsia="微軟正黑體" w:hAnsi="Arial" w:hint="eastAsia"/>
                <w:szCs w:val="24"/>
              </w:rPr>
              <w:t>, etc.</w:t>
            </w:r>
          </w:p>
          <w:p w14:paraId="3F48D095" w14:textId="619D4193"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00D34E3F" w:rsidRPr="00587F7A">
              <w:rPr>
                <w:rFonts w:ascii="Arial" w:eastAsia="微軟正黑體" w:hAnsi="Arial" w:hint="eastAsia"/>
                <w:szCs w:val="24"/>
                <w:u w:val="single"/>
              </w:rPr>
              <w:t>101</w:t>
            </w:r>
            <w:r w:rsidR="0049277E" w:rsidRPr="00587F7A">
              <w:rPr>
                <w:rFonts w:ascii="Arial" w:eastAsia="微軟正黑體" w:hAnsi="Arial" w:hint="eastAsia"/>
                <w:szCs w:val="24"/>
                <w:u w:val="single"/>
              </w:rPr>
              <w:t xml:space="preserve"> </w:t>
            </w:r>
            <w:r w:rsidR="0049277E" w:rsidRPr="00587F7A">
              <w:rPr>
                <w:rFonts w:ascii="Arial" w:eastAsia="微軟正黑體" w:hAnsi="Arial"/>
                <w:szCs w:val="24"/>
                <w:u w:val="single"/>
              </w:rPr>
              <w:t>(Residential Sector</w:t>
            </w:r>
            <w:r w:rsidR="0049277E" w:rsidRPr="00587F7A">
              <w:rPr>
                <w:rFonts w:ascii="Arial" w:eastAsia="微軟正黑體" w:hAnsi="Arial" w:hint="eastAsia"/>
                <w:szCs w:val="24"/>
                <w:u w:val="single"/>
              </w:rPr>
              <w:t>)</w:t>
            </w:r>
          </w:p>
          <w:p w14:paraId="6776BD11" w14:textId="77777777" w:rsidR="00BB3576" w:rsidRPr="00587F7A" w:rsidRDefault="0049277E" w:rsidP="004B48AD">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This indicates the energy consumption of households (of non-commercials).</w:t>
            </w:r>
          </w:p>
          <w:p w14:paraId="51402651" w14:textId="7CDE1D39"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00D34E3F" w:rsidRPr="00587F7A">
              <w:rPr>
                <w:rFonts w:ascii="Arial" w:eastAsia="微軟正黑體" w:hAnsi="Arial" w:hint="eastAsia"/>
                <w:szCs w:val="24"/>
                <w:u w:val="single"/>
              </w:rPr>
              <w:t>102</w:t>
            </w:r>
            <w:r w:rsidR="0049277E" w:rsidRPr="00587F7A">
              <w:rPr>
                <w:rFonts w:ascii="Arial" w:eastAsia="微軟正黑體" w:hAnsi="Arial" w:hint="eastAsia"/>
                <w:szCs w:val="24"/>
                <w:u w:val="single"/>
              </w:rPr>
              <w:t xml:space="preserve"> </w:t>
            </w:r>
            <w:r w:rsidR="0049277E" w:rsidRPr="00587F7A">
              <w:rPr>
                <w:rFonts w:ascii="Arial" w:eastAsia="微軟正黑體" w:hAnsi="Arial"/>
                <w:szCs w:val="24"/>
                <w:u w:val="single"/>
              </w:rPr>
              <w:t>(Non-Energy Use</w:t>
            </w:r>
            <w:r w:rsidR="0049277E" w:rsidRPr="00587F7A">
              <w:rPr>
                <w:rFonts w:ascii="Arial" w:eastAsia="微軟正黑體" w:hAnsi="Arial" w:hint="eastAsia"/>
                <w:szCs w:val="24"/>
                <w:u w:val="single"/>
              </w:rPr>
              <w:t>)</w:t>
            </w:r>
          </w:p>
          <w:p w14:paraId="250AD5E8" w14:textId="77777777" w:rsidR="0049277E" w:rsidRPr="00587F7A" w:rsidRDefault="0049277E" w:rsidP="0049277E">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 This includes the energy products for non-energy purpose such as lubricants, asphalts, and solvents, etc. Anthracites for industrial catalyst and filtering, cokes for enforcement of carbon content, are the examples of non-energy use of energy products.</w:t>
            </w:r>
          </w:p>
          <w:p w14:paraId="2BBCEF03" w14:textId="77777777" w:rsidR="00BB3576" w:rsidRPr="00587F7A" w:rsidRDefault="0049277E" w:rsidP="0049277E">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Due to lack of detailed data, feedstock of Chemical Materials is for reference only.</w:t>
            </w:r>
          </w:p>
        </w:tc>
      </w:tr>
      <w:tr w:rsidR="006F7470" w:rsidRPr="00587F7A" w14:paraId="63EB6063" w14:textId="77777777" w:rsidTr="004B48AD">
        <w:tc>
          <w:tcPr>
            <w:tcW w:w="9044" w:type="dxa"/>
            <w:tcBorders>
              <w:top w:val="single" w:sz="4" w:space="0" w:color="auto"/>
              <w:left w:val="single" w:sz="4" w:space="0" w:color="auto"/>
              <w:bottom w:val="single" w:sz="4" w:space="0" w:color="auto"/>
              <w:right w:val="single" w:sz="4" w:space="0" w:color="auto"/>
            </w:tcBorders>
          </w:tcPr>
          <w:p w14:paraId="0B90D0BA" w14:textId="77777777" w:rsidR="00BB3576" w:rsidRPr="00587F7A" w:rsidRDefault="00BB3576" w:rsidP="004B48AD">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lastRenderedPageBreak/>
              <w:t>4.</w:t>
            </w:r>
            <w:r w:rsidRPr="00587F7A">
              <w:rPr>
                <w:rFonts w:ascii="Arial" w:eastAsia="微軟正黑體" w:hAnsi="Arial"/>
                <w:b/>
                <w:bCs/>
                <w:szCs w:val="24"/>
              </w:rPr>
              <w:t xml:space="preserve"> </w:t>
            </w:r>
            <w:r w:rsidRPr="00587F7A">
              <w:rPr>
                <w:rFonts w:ascii="Arial" w:eastAsia="微軟正黑體" w:hAnsi="Arial" w:hint="eastAsia"/>
                <w:b/>
                <w:bCs/>
                <w:szCs w:val="24"/>
              </w:rPr>
              <w:t>I</w:t>
            </w:r>
            <w:r w:rsidRPr="00587F7A">
              <w:rPr>
                <w:rFonts w:ascii="Arial" w:eastAsia="微軟正黑體" w:hAnsi="Arial"/>
                <w:b/>
                <w:bCs/>
                <w:szCs w:val="24"/>
              </w:rPr>
              <w:t>ndependent items</w:t>
            </w:r>
          </w:p>
          <w:p w14:paraId="4DA4139C"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9</w:t>
            </w:r>
            <w:r w:rsidR="00581A46" w:rsidRPr="00587F7A">
              <w:rPr>
                <w:rFonts w:ascii="Arial" w:eastAsia="微軟正黑體" w:hAnsi="Arial"/>
                <w:szCs w:val="24"/>
                <w:u w:val="single"/>
              </w:rPr>
              <w:t xml:space="preserve"> </w:t>
            </w:r>
            <w:r w:rsidR="00581A46" w:rsidRPr="00587F7A">
              <w:rPr>
                <w:rFonts w:ascii="Arial" w:eastAsia="微軟正黑體" w:hAnsi="Arial" w:hint="eastAsia"/>
                <w:szCs w:val="24"/>
                <w:u w:val="single"/>
              </w:rPr>
              <w:t>(</w:t>
            </w:r>
            <w:r w:rsidR="00581A46" w:rsidRPr="00587F7A">
              <w:rPr>
                <w:rFonts w:ascii="Arial" w:eastAsia="微軟正黑體" w:hAnsi="Arial"/>
                <w:szCs w:val="24"/>
                <w:u w:val="single"/>
              </w:rPr>
              <w:t>Statistical Differences)</w:t>
            </w:r>
          </w:p>
          <w:p w14:paraId="2A912FAD" w14:textId="77777777" w:rsidR="00BB3576" w:rsidRPr="00587F7A" w:rsidRDefault="00167FB7" w:rsidP="00167FB7">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This row is derived by the formula: R9=R7-R8-R10+R19-R22-R32-R33 for those columns with actual stock changes; it is zero for columns if the stock change is the residual to keep that column balanced.</w:t>
            </w:r>
          </w:p>
          <w:p w14:paraId="1EDEB7D2"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32</w:t>
            </w:r>
            <w:r w:rsidR="00F278D7" w:rsidRPr="00587F7A">
              <w:rPr>
                <w:rFonts w:ascii="Arial" w:eastAsia="微軟正黑體" w:hAnsi="Arial" w:hint="eastAsia"/>
                <w:szCs w:val="24"/>
                <w:u w:val="single"/>
              </w:rPr>
              <w:t xml:space="preserve"> </w:t>
            </w:r>
            <w:r w:rsidR="00F278D7" w:rsidRPr="00587F7A">
              <w:rPr>
                <w:rFonts w:ascii="Arial" w:eastAsia="微軟正黑體" w:hAnsi="Arial"/>
                <w:szCs w:val="24"/>
                <w:u w:val="single"/>
              </w:rPr>
              <w:t>(Loss</w:t>
            </w:r>
            <w:r w:rsidR="00F278D7" w:rsidRPr="00587F7A">
              <w:rPr>
                <w:rFonts w:ascii="Arial" w:eastAsia="微軟正黑體" w:hAnsi="Arial" w:hint="eastAsia"/>
                <w:szCs w:val="24"/>
                <w:u w:val="single"/>
              </w:rPr>
              <w:t>)</w:t>
            </w:r>
          </w:p>
          <w:p w14:paraId="613EC110" w14:textId="77777777" w:rsidR="00F278D7"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(1) This represents the actual emission as waste of coke oven gas, blast furnace gas, and oxygen steel furnace gas in steel mill, and the line loss of the power transmission and distribution system.</w:t>
            </w:r>
          </w:p>
          <w:p w14:paraId="3F81717B" w14:textId="77777777" w:rsidR="00BB3576" w:rsidRPr="00587F7A" w:rsidRDefault="00F278D7" w:rsidP="00F278D7">
            <w:pPr>
              <w:pStyle w:val="a9"/>
              <w:overflowPunct w:val="0"/>
              <w:spacing w:line="340" w:lineRule="exact"/>
              <w:ind w:left="360" w:hangingChars="150" w:hanging="360"/>
              <w:rPr>
                <w:rFonts w:ascii="Arial" w:eastAsia="微軟正黑體" w:hAnsi="Arial"/>
                <w:szCs w:val="24"/>
              </w:rPr>
            </w:pPr>
            <w:r w:rsidRPr="00587F7A">
              <w:rPr>
                <w:rFonts w:ascii="Arial" w:eastAsia="微軟正黑體" w:hAnsi="Arial"/>
                <w:szCs w:val="24"/>
              </w:rPr>
              <w:t>(2) Figures starting 2001 of line losses are actual losses and were estimated from line loss rate before 2001.</w:t>
            </w:r>
          </w:p>
        </w:tc>
      </w:tr>
      <w:tr w:rsidR="00BB3576" w:rsidRPr="00587F7A" w14:paraId="10AA18BB" w14:textId="77777777" w:rsidTr="004B48AD">
        <w:tc>
          <w:tcPr>
            <w:tcW w:w="9044" w:type="dxa"/>
            <w:tcBorders>
              <w:top w:val="single" w:sz="4" w:space="0" w:color="auto"/>
              <w:left w:val="single" w:sz="4" w:space="0" w:color="auto"/>
              <w:bottom w:val="single" w:sz="4" w:space="0" w:color="auto"/>
              <w:right w:val="single" w:sz="4" w:space="0" w:color="auto"/>
            </w:tcBorders>
          </w:tcPr>
          <w:p w14:paraId="57DD9499" w14:textId="77777777" w:rsidR="00BB3576" w:rsidRPr="00587F7A" w:rsidRDefault="00BB3576" w:rsidP="004B48AD">
            <w:pPr>
              <w:pStyle w:val="a9"/>
              <w:overflowPunct w:val="0"/>
              <w:spacing w:line="340" w:lineRule="exact"/>
              <w:rPr>
                <w:rFonts w:ascii="Arial" w:eastAsia="微軟正黑體" w:hAnsi="Arial"/>
                <w:b/>
                <w:bCs/>
                <w:szCs w:val="24"/>
              </w:rPr>
            </w:pPr>
            <w:r w:rsidRPr="00587F7A">
              <w:rPr>
                <w:rFonts w:ascii="Arial" w:eastAsia="微軟正黑體" w:hAnsi="Arial" w:hint="eastAsia"/>
                <w:b/>
                <w:bCs/>
                <w:szCs w:val="24"/>
              </w:rPr>
              <w:t>5.M</w:t>
            </w:r>
            <w:r w:rsidRPr="00587F7A">
              <w:rPr>
                <w:rFonts w:ascii="Arial" w:eastAsia="微軟正黑體" w:hAnsi="Arial"/>
                <w:b/>
                <w:bCs/>
                <w:szCs w:val="24"/>
              </w:rPr>
              <w:t>emo</w:t>
            </w:r>
          </w:p>
          <w:p w14:paraId="6A9A9B3B"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1</w:t>
            </w:r>
            <w:r w:rsidR="0049277E" w:rsidRPr="00587F7A">
              <w:rPr>
                <w:rFonts w:ascii="Arial" w:eastAsia="微軟正黑體" w:hAnsi="Arial"/>
                <w:szCs w:val="24"/>
                <w:u w:val="single"/>
              </w:rPr>
              <w:t xml:space="preserve"> </w:t>
            </w:r>
            <w:r w:rsidR="0049277E" w:rsidRPr="00587F7A">
              <w:rPr>
                <w:rFonts w:ascii="Arial" w:eastAsia="微軟正黑體" w:hAnsi="Arial" w:hint="eastAsia"/>
                <w:szCs w:val="24"/>
                <w:u w:val="single"/>
              </w:rPr>
              <w:t>(</w:t>
            </w:r>
            <w:r w:rsidR="0049277E" w:rsidRPr="00587F7A">
              <w:rPr>
                <w:rFonts w:ascii="Arial" w:eastAsia="微軟正黑體" w:hAnsi="Arial"/>
                <w:szCs w:val="24"/>
                <w:u w:val="single"/>
              </w:rPr>
              <w:t>Electricity Generated</w:t>
            </w:r>
            <w:r w:rsidR="0049277E" w:rsidRPr="00587F7A">
              <w:rPr>
                <w:rFonts w:ascii="Arial" w:eastAsia="微軟正黑體" w:hAnsi="Arial" w:hint="eastAsia"/>
                <w:szCs w:val="24"/>
                <w:u w:val="single"/>
              </w:rPr>
              <w:t>)</w:t>
            </w:r>
          </w:p>
          <w:p w14:paraId="4842049E" w14:textId="77777777" w:rsidR="00BB3576" w:rsidRPr="00587F7A" w:rsidRDefault="0049277E" w:rsidP="0049277E">
            <w:pPr>
              <w:pStyle w:val="a9"/>
              <w:overflowPunct w:val="0"/>
              <w:spacing w:line="340" w:lineRule="exact"/>
              <w:ind w:leftChars="150" w:left="360"/>
              <w:rPr>
                <w:rFonts w:ascii="Arial" w:eastAsia="微軟正黑體" w:hAnsi="Arial"/>
                <w:szCs w:val="24"/>
              </w:rPr>
            </w:pPr>
            <w:r w:rsidRPr="00587F7A">
              <w:rPr>
                <w:rFonts w:ascii="Arial" w:eastAsia="微軟正黑體" w:hAnsi="Arial"/>
                <w:szCs w:val="24"/>
              </w:rPr>
              <w:t>This shows the gross electricity generation split into Electricity Plants and Cogeneration Plants, as well as generation of hydro (including pumped storage production), coal, oil, natural gas, nuclear, geothermal, solar photovoltaic, and wind.</w:t>
            </w:r>
          </w:p>
          <w:p w14:paraId="27B8079A" w14:textId="77777777" w:rsidR="00BB3576" w:rsidRPr="00587F7A" w:rsidRDefault="00BB3576" w:rsidP="004B48AD">
            <w:pPr>
              <w:pStyle w:val="a9"/>
              <w:overflowPunct w:val="0"/>
              <w:spacing w:line="340" w:lineRule="exact"/>
              <w:ind w:left="432" w:hangingChars="180" w:hanging="432"/>
              <w:rPr>
                <w:rFonts w:ascii="Arial" w:eastAsia="微軟正黑體" w:hAnsi="Arial"/>
                <w:szCs w:val="24"/>
                <w:u w:val="single"/>
              </w:rPr>
            </w:pPr>
            <w:r w:rsidRPr="00587F7A">
              <w:rPr>
                <w:rFonts w:ascii="Arial" w:eastAsia="微軟正黑體" w:hAnsi="Arial"/>
                <w:szCs w:val="24"/>
                <w:u w:val="single"/>
              </w:rPr>
              <w:t>Row</w:t>
            </w:r>
            <w:r w:rsidRPr="00587F7A">
              <w:rPr>
                <w:rFonts w:ascii="Arial" w:eastAsia="微軟正黑體" w:hAnsi="Arial" w:hint="eastAsia"/>
                <w:szCs w:val="24"/>
                <w:u w:val="single"/>
              </w:rPr>
              <w:t>6</w:t>
            </w:r>
            <w:r w:rsidR="0049277E" w:rsidRPr="00587F7A">
              <w:rPr>
                <w:rFonts w:ascii="Arial" w:eastAsia="微軟正黑體" w:hAnsi="Arial"/>
                <w:szCs w:val="24"/>
                <w:u w:val="single"/>
              </w:rPr>
              <w:t xml:space="preserve"> </w:t>
            </w:r>
            <w:r w:rsidR="0049277E" w:rsidRPr="00587F7A">
              <w:rPr>
                <w:rFonts w:ascii="Arial" w:eastAsia="微軟正黑體" w:hAnsi="Arial" w:hint="eastAsia"/>
                <w:szCs w:val="24"/>
                <w:u w:val="single"/>
              </w:rPr>
              <w:t>(</w:t>
            </w:r>
            <w:r w:rsidR="0049277E" w:rsidRPr="00587F7A">
              <w:rPr>
                <w:rFonts w:ascii="Arial" w:eastAsia="微軟正黑體" w:hAnsi="Arial"/>
                <w:szCs w:val="24"/>
                <w:u w:val="single"/>
              </w:rPr>
              <w:t>Heat Generated</w:t>
            </w:r>
            <w:r w:rsidR="0049277E" w:rsidRPr="00587F7A">
              <w:rPr>
                <w:rFonts w:ascii="Arial" w:eastAsia="微軟正黑體" w:hAnsi="Arial" w:hint="eastAsia"/>
                <w:szCs w:val="24"/>
                <w:u w:val="single"/>
              </w:rPr>
              <w:t>)</w:t>
            </w:r>
          </w:p>
          <w:p w14:paraId="5A086F7E" w14:textId="77777777" w:rsidR="00BB3576" w:rsidRPr="00587F7A" w:rsidRDefault="0049277E" w:rsidP="004B48AD">
            <w:pPr>
              <w:pStyle w:val="a9"/>
              <w:overflowPunct w:val="0"/>
              <w:spacing w:line="340" w:lineRule="exact"/>
              <w:ind w:leftChars="150" w:left="360"/>
              <w:rPr>
                <w:rFonts w:ascii="Arial" w:eastAsia="微軟正黑體" w:hAnsi="Arial"/>
                <w:b/>
                <w:bCs/>
                <w:szCs w:val="24"/>
              </w:rPr>
            </w:pPr>
            <w:r w:rsidRPr="00587F7A">
              <w:rPr>
                <w:rFonts w:ascii="Arial" w:eastAsia="微軟正黑體" w:hAnsi="Arial"/>
                <w:szCs w:val="24"/>
              </w:rPr>
              <w:t>This shows the heat generated by public cogeneration plants</w:t>
            </w:r>
            <w:r w:rsidR="00DB2C0A" w:rsidRPr="00587F7A">
              <w:rPr>
                <w:rFonts w:ascii="Arial" w:eastAsia="微軟正黑體" w:hAnsi="Arial"/>
              </w:rPr>
              <w:t xml:space="preserve"> </w:t>
            </w:r>
            <w:r w:rsidR="00DB2C0A" w:rsidRPr="00587F7A">
              <w:rPr>
                <w:rFonts w:ascii="Arial" w:eastAsia="微軟正黑體" w:hAnsi="Arial"/>
                <w:szCs w:val="24"/>
              </w:rPr>
              <w:t>and that sold by auto-producer cogeneration plants.</w:t>
            </w:r>
          </w:p>
        </w:tc>
      </w:tr>
    </w:tbl>
    <w:p w14:paraId="68837D3F" w14:textId="77777777" w:rsidR="00BB3576" w:rsidRPr="00587F7A" w:rsidRDefault="00BB3576" w:rsidP="00BB3576">
      <w:pPr>
        <w:snapToGrid w:val="0"/>
        <w:spacing w:afterLines="50" w:after="180" w:line="400" w:lineRule="exact"/>
        <w:ind w:left="246"/>
        <w:jc w:val="both"/>
        <w:rPr>
          <w:rFonts w:ascii="Arial" w:eastAsia="微軟正黑體" w:hAnsi="Arial"/>
          <w:sz w:val="28"/>
          <w:szCs w:val="28"/>
        </w:rPr>
      </w:pPr>
    </w:p>
    <w:sectPr w:rsidR="00BB3576" w:rsidRPr="00587F7A" w:rsidSect="009F203F">
      <w:footerReference w:type="default" r:id="rId8"/>
      <w:pgSz w:w="11906" w:h="16838" w:code="9"/>
      <w:pgMar w:top="993" w:right="1418" w:bottom="426"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690A6" w14:textId="77777777" w:rsidR="00397520" w:rsidRDefault="00397520" w:rsidP="000661D6">
      <w:r>
        <w:separator/>
      </w:r>
    </w:p>
  </w:endnote>
  <w:endnote w:type="continuationSeparator" w:id="0">
    <w:p w14:paraId="582BB677" w14:textId="77777777" w:rsidR="00397520" w:rsidRDefault="00397520" w:rsidP="0006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F176E" w14:textId="77777777" w:rsidR="009F203F" w:rsidRDefault="009F203F">
    <w:pPr>
      <w:pStyle w:val="a7"/>
      <w:jc w:val="center"/>
    </w:pPr>
    <w:r>
      <w:fldChar w:fldCharType="begin"/>
    </w:r>
    <w:r>
      <w:instrText>PAGE   \* MERGEFORMAT</w:instrText>
    </w:r>
    <w:r>
      <w:fldChar w:fldCharType="separate"/>
    </w:r>
    <w:r>
      <w:rPr>
        <w:lang w:val="zh-TW"/>
      </w:rPr>
      <w:t>2</w:t>
    </w:r>
    <w:r>
      <w:fldChar w:fldCharType="end"/>
    </w:r>
  </w:p>
  <w:p w14:paraId="5EA2ABC7" w14:textId="77777777" w:rsidR="00E853D8" w:rsidRDefault="00E853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6F7B" w14:textId="77777777" w:rsidR="00397520" w:rsidRDefault="00397520" w:rsidP="000661D6">
      <w:r>
        <w:separator/>
      </w:r>
    </w:p>
  </w:footnote>
  <w:footnote w:type="continuationSeparator" w:id="0">
    <w:p w14:paraId="1B307580" w14:textId="77777777" w:rsidR="00397520" w:rsidRDefault="00397520" w:rsidP="00066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A32D4"/>
    <w:multiLevelType w:val="singleLevel"/>
    <w:tmpl w:val="3A66CFC8"/>
    <w:lvl w:ilvl="0">
      <w:start w:val="1"/>
      <w:numFmt w:val="taiwaneseCountingThousand"/>
      <w:lvlText w:val="%1、"/>
      <w:lvlJc w:val="left"/>
      <w:pPr>
        <w:tabs>
          <w:tab w:val="num" w:pos="570"/>
        </w:tabs>
        <w:ind w:left="570" w:hanging="570"/>
      </w:pPr>
      <w:rPr>
        <w:rFonts w:hint="eastAsia"/>
        <w:lang w:val="en-US"/>
      </w:rPr>
    </w:lvl>
  </w:abstractNum>
  <w:abstractNum w:abstractNumId="1" w15:restartNumberingAfterBreak="0">
    <w:nsid w:val="588947DA"/>
    <w:multiLevelType w:val="hybridMultilevel"/>
    <w:tmpl w:val="D62E46C2"/>
    <w:lvl w:ilvl="0" w:tplc="77B25CAE">
      <w:start w:val="1"/>
      <w:numFmt w:val="taiwaneseCountingThousand"/>
      <w:lvlText w:val="(%1)"/>
      <w:lvlJc w:val="left"/>
      <w:pPr>
        <w:ind w:left="705" w:hanging="465"/>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5D8D23D3"/>
    <w:multiLevelType w:val="hybridMultilevel"/>
    <w:tmpl w:val="9D4264D6"/>
    <w:lvl w:ilvl="0" w:tplc="8C90F9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BB3CA1"/>
    <w:multiLevelType w:val="singleLevel"/>
    <w:tmpl w:val="67D27F0E"/>
    <w:lvl w:ilvl="0">
      <w:start w:val="1"/>
      <w:numFmt w:val="decimal"/>
      <w:lvlText w:val="%1."/>
      <w:lvlJc w:val="left"/>
      <w:pPr>
        <w:tabs>
          <w:tab w:val="num" w:pos="210"/>
        </w:tabs>
        <w:ind w:left="210" w:hanging="210"/>
      </w:pPr>
      <w:rPr>
        <w:rFonts w:hint="default"/>
      </w:rPr>
    </w:lvl>
  </w:abstractNum>
  <w:num w:numId="1" w16cid:durableId="636690603">
    <w:abstractNumId w:val="0"/>
  </w:num>
  <w:num w:numId="2" w16cid:durableId="1940327358">
    <w:abstractNumId w:val="3"/>
  </w:num>
  <w:num w:numId="3" w16cid:durableId="544876850">
    <w:abstractNumId w:val="1"/>
  </w:num>
  <w:num w:numId="4" w16cid:durableId="466318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F5"/>
    <w:rsid w:val="00007820"/>
    <w:rsid w:val="00011B80"/>
    <w:rsid w:val="00014EF9"/>
    <w:rsid w:val="000238EC"/>
    <w:rsid w:val="0002695D"/>
    <w:rsid w:val="00060C30"/>
    <w:rsid w:val="000661D6"/>
    <w:rsid w:val="00076679"/>
    <w:rsid w:val="00080072"/>
    <w:rsid w:val="000852A3"/>
    <w:rsid w:val="000873F0"/>
    <w:rsid w:val="00093756"/>
    <w:rsid w:val="000C4EC8"/>
    <w:rsid w:val="000E17A1"/>
    <w:rsid w:val="000F7C3B"/>
    <w:rsid w:val="0010179D"/>
    <w:rsid w:val="00152F30"/>
    <w:rsid w:val="00164A18"/>
    <w:rsid w:val="00167FB7"/>
    <w:rsid w:val="00174B99"/>
    <w:rsid w:val="00182209"/>
    <w:rsid w:val="00184A98"/>
    <w:rsid w:val="001A4D81"/>
    <w:rsid w:val="001B59E0"/>
    <w:rsid w:val="002033F4"/>
    <w:rsid w:val="00214144"/>
    <w:rsid w:val="002228E7"/>
    <w:rsid w:val="00226662"/>
    <w:rsid w:val="00232B55"/>
    <w:rsid w:val="00280EDE"/>
    <w:rsid w:val="0028550E"/>
    <w:rsid w:val="00292CB6"/>
    <w:rsid w:val="002A287B"/>
    <w:rsid w:val="002A4A92"/>
    <w:rsid w:val="002B63DD"/>
    <w:rsid w:val="00300EA7"/>
    <w:rsid w:val="0032474D"/>
    <w:rsid w:val="00331C6E"/>
    <w:rsid w:val="003335F5"/>
    <w:rsid w:val="00342735"/>
    <w:rsid w:val="003574D6"/>
    <w:rsid w:val="003826C7"/>
    <w:rsid w:val="00383547"/>
    <w:rsid w:val="00385FF7"/>
    <w:rsid w:val="00397520"/>
    <w:rsid w:val="003A13D2"/>
    <w:rsid w:val="003D7010"/>
    <w:rsid w:val="003E3B1B"/>
    <w:rsid w:val="003E5ED6"/>
    <w:rsid w:val="0040154F"/>
    <w:rsid w:val="00421613"/>
    <w:rsid w:val="00434736"/>
    <w:rsid w:val="00434B4F"/>
    <w:rsid w:val="00443AB3"/>
    <w:rsid w:val="00452314"/>
    <w:rsid w:val="004603E7"/>
    <w:rsid w:val="00474629"/>
    <w:rsid w:val="0048253B"/>
    <w:rsid w:val="00487BF7"/>
    <w:rsid w:val="00490F20"/>
    <w:rsid w:val="0049277E"/>
    <w:rsid w:val="004B48AD"/>
    <w:rsid w:val="004E508D"/>
    <w:rsid w:val="004F5479"/>
    <w:rsid w:val="005074B1"/>
    <w:rsid w:val="00533D2F"/>
    <w:rsid w:val="00535EA5"/>
    <w:rsid w:val="00542031"/>
    <w:rsid w:val="00546477"/>
    <w:rsid w:val="00581A46"/>
    <w:rsid w:val="0058487C"/>
    <w:rsid w:val="00586992"/>
    <w:rsid w:val="00587F7A"/>
    <w:rsid w:val="00590EFB"/>
    <w:rsid w:val="005A6AFD"/>
    <w:rsid w:val="005B6918"/>
    <w:rsid w:val="005D4895"/>
    <w:rsid w:val="005F2E31"/>
    <w:rsid w:val="00616377"/>
    <w:rsid w:val="0062424A"/>
    <w:rsid w:val="00632EB6"/>
    <w:rsid w:val="006358E4"/>
    <w:rsid w:val="00635A9F"/>
    <w:rsid w:val="006415C0"/>
    <w:rsid w:val="00670BD7"/>
    <w:rsid w:val="006A5DE6"/>
    <w:rsid w:val="006C34DC"/>
    <w:rsid w:val="006C3603"/>
    <w:rsid w:val="006E147D"/>
    <w:rsid w:val="006E5675"/>
    <w:rsid w:val="006F7470"/>
    <w:rsid w:val="0072414A"/>
    <w:rsid w:val="00757249"/>
    <w:rsid w:val="0076360A"/>
    <w:rsid w:val="007755E0"/>
    <w:rsid w:val="007813F6"/>
    <w:rsid w:val="00781474"/>
    <w:rsid w:val="007818E7"/>
    <w:rsid w:val="00783A67"/>
    <w:rsid w:val="007B2BAD"/>
    <w:rsid w:val="007C034B"/>
    <w:rsid w:val="007C2A0D"/>
    <w:rsid w:val="007C43AF"/>
    <w:rsid w:val="007F46BD"/>
    <w:rsid w:val="00803B48"/>
    <w:rsid w:val="008560F2"/>
    <w:rsid w:val="008626F0"/>
    <w:rsid w:val="00864C5F"/>
    <w:rsid w:val="008848A2"/>
    <w:rsid w:val="0089602E"/>
    <w:rsid w:val="008A04B4"/>
    <w:rsid w:val="008B0479"/>
    <w:rsid w:val="008B5B98"/>
    <w:rsid w:val="008B5DA0"/>
    <w:rsid w:val="008B61DA"/>
    <w:rsid w:val="008C6E38"/>
    <w:rsid w:val="008D36A8"/>
    <w:rsid w:val="008D7C09"/>
    <w:rsid w:val="008E640B"/>
    <w:rsid w:val="008F60A1"/>
    <w:rsid w:val="009000BA"/>
    <w:rsid w:val="009017D1"/>
    <w:rsid w:val="00903725"/>
    <w:rsid w:val="00910CE0"/>
    <w:rsid w:val="009246DD"/>
    <w:rsid w:val="009529B2"/>
    <w:rsid w:val="00980962"/>
    <w:rsid w:val="009A0595"/>
    <w:rsid w:val="009A2C0C"/>
    <w:rsid w:val="009B4D19"/>
    <w:rsid w:val="009C3E3F"/>
    <w:rsid w:val="009C5AD6"/>
    <w:rsid w:val="009D3946"/>
    <w:rsid w:val="009E1FFB"/>
    <w:rsid w:val="009E2EAB"/>
    <w:rsid w:val="009E39B3"/>
    <w:rsid w:val="009F203F"/>
    <w:rsid w:val="00A05F91"/>
    <w:rsid w:val="00A200FE"/>
    <w:rsid w:val="00A22BA9"/>
    <w:rsid w:val="00A32225"/>
    <w:rsid w:val="00A33A74"/>
    <w:rsid w:val="00A41E30"/>
    <w:rsid w:val="00A614B1"/>
    <w:rsid w:val="00A65CC0"/>
    <w:rsid w:val="00AC62FC"/>
    <w:rsid w:val="00AF33ED"/>
    <w:rsid w:val="00B00E93"/>
    <w:rsid w:val="00B21262"/>
    <w:rsid w:val="00B37DF0"/>
    <w:rsid w:val="00B40DD4"/>
    <w:rsid w:val="00B519A8"/>
    <w:rsid w:val="00B51E39"/>
    <w:rsid w:val="00B55486"/>
    <w:rsid w:val="00B6360A"/>
    <w:rsid w:val="00B74B4E"/>
    <w:rsid w:val="00B75957"/>
    <w:rsid w:val="00B82C7A"/>
    <w:rsid w:val="00B8684D"/>
    <w:rsid w:val="00B87D1C"/>
    <w:rsid w:val="00BB3576"/>
    <w:rsid w:val="00BB3AB0"/>
    <w:rsid w:val="00BB6C4E"/>
    <w:rsid w:val="00BC1E25"/>
    <w:rsid w:val="00C12575"/>
    <w:rsid w:val="00C17AF5"/>
    <w:rsid w:val="00C214D2"/>
    <w:rsid w:val="00C31060"/>
    <w:rsid w:val="00C4509D"/>
    <w:rsid w:val="00C50AC2"/>
    <w:rsid w:val="00C650D2"/>
    <w:rsid w:val="00C66AC6"/>
    <w:rsid w:val="00C80DE9"/>
    <w:rsid w:val="00CA58A4"/>
    <w:rsid w:val="00CB621F"/>
    <w:rsid w:val="00CE1EBE"/>
    <w:rsid w:val="00CF4E33"/>
    <w:rsid w:val="00D1187D"/>
    <w:rsid w:val="00D11BA2"/>
    <w:rsid w:val="00D13691"/>
    <w:rsid w:val="00D34594"/>
    <w:rsid w:val="00D34E3F"/>
    <w:rsid w:val="00D4096E"/>
    <w:rsid w:val="00D416B7"/>
    <w:rsid w:val="00D750CC"/>
    <w:rsid w:val="00D80FCF"/>
    <w:rsid w:val="00D95CF5"/>
    <w:rsid w:val="00DA526A"/>
    <w:rsid w:val="00DA5E28"/>
    <w:rsid w:val="00DB2C0A"/>
    <w:rsid w:val="00DC5230"/>
    <w:rsid w:val="00DD21BA"/>
    <w:rsid w:val="00DD4EF0"/>
    <w:rsid w:val="00DD6113"/>
    <w:rsid w:val="00DE0A8B"/>
    <w:rsid w:val="00DF4A9A"/>
    <w:rsid w:val="00E041A1"/>
    <w:rsid w:val="00E04ECC"/>
    <w:rsid w:val="00E1741F"/>
    <w:rsid w:val="00E323F6"/>
    <w:rsid w:val="00E41EEA"/>
    <w:rsid w:val="00E46454"/>
    <w:rsid w:val="00E77A2D"/>
    <w:rsid w:val="00E853D8"/>
    <w:rsid w:val="00E85942"/>
    <w:rsid w:val="00E922BD"/>
    <w:rsid w:val="00EA0A0A"/>
    <w:rsid w:val="00EA1299"/>
    <w:rsid w:val="00EA52A3"/>
    <w:rsid w:val="00ED3257"/>
    <w:rsid w:val="00ED5A8C"/>
    <w:rsid w:val="00EE0D0B"/>
    <w:rsid w:val="00EE21D5"/>
    <w:rsid w:val="00F02D67"/>
    <w:rsid w:val="00F20D9E"/>
    <w:rsid w:val="00F21870"/>
    <w:rsid w:val="00F278D7"/>
    <w:rsid w:val="00F42AA6"/>
    <w:rsid w:val="00F42DD0"/>
    <w:rsid w:val="00F55AFD"/>
    <w:rsid w:val="00F57595"/>
    <w:rsid w:val="00F74B87"/>
    <w:rsid w:val="00F83306"/>
    <w:rsid w:val="00FA6C2E"/>
    <w:rsid w:val="00FB425A"/>
    <w:rsid w:val="00FC70B1"/>
    <w:rsid w:val="00FD6C0C"/>
    <w:rsid w:val="00FE7DD5"/>
    <w:rsid w:val="00FF00FF"/>
    <w:rsid w:val="00FF51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50C356"/>
  <w15:chartTrackingRefBased/>
  <w15:docId w15:val="{88EE9DD9-E155-4C13-A03F-080C9221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576"/>
    <w:pPr>
      <w:widowControl w:val="0"/>
    </w:pPr>
    <w:rPr>
      <w:kern w:val="2"/>
      <w:sz w:val="24"/>
    </w:rPr>
  </w:style>
  <w:style w:type="paragraph" w:styleId="1">
    <w:name w:val="heading 1"/>
    <w:basedOn w:val="a"/>
    <w:next w:val="a"/>
    <w:qFormat/>
    <w:pPr>
      <w:keepNext/>
      <w:jc w:val="center"/>
      <w:outlineLvl w:val="0"/>
    </w:pPr>
    <w:rPr>
      <w:sz w:val="40"/>
    </w:rPr>
  </w:style>
  <w:style w:type="paragraph" w:styleId="2">
    <w:name w:val="heading 2"/>
    <w:basedOn w:val="a"/>
    <w:next w:val="a0"/>
    <w:qFormat/>
    <w:pPr>
      <w:keepNext/>
      <w:snapToGrid w:val="0"/>
      <w:spacing w:before="240" w:after="240" w:line="360" w:lineRule="auto"/>
      <w:jc w:val="center"/>
      <w:outlineLvl w:val="1"/>
    </w:pPr>
    <w:rPr>
      <w:b/>
      <w:sz w:val="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28"/>
    </w:rPr>
  </w:style>
  <w:style w:type="paragraph" w:styleId="a0">
    <w:name w:val="Normal Indent"/>
    <w:basedOn w:val="a"/>
    <w:pPr>
      <w:ind w:left="480"/>
    </w:pPr>
  </w:style>
  <w:style w:type="paragraph" w:styleId="a5">
    <w:name w:val="header"/>
    <w:basedOn w:val="a"/>
    <w:link w:val="a6"/>
    <w:uiPriority w:val="99"/>
    <w:rsid w:val="000661D6"/>
    <w:pPr>
      <w:tabs>
        <w:tab w:val="center" w:pos="4153"/>
        <w:tab w:val="right" w:pos="8306"/>
      </w:tabs>
      <w:snapToGrid w:val="0"/>
    </w:pPr>
    <w:rPr>
      <w:sz w:val="20"/>
    </w:rPr>
  </w:style>
  <w:style w:type="character" w:customStyle="1" w:styleId="a6">
    <w:name w:val="頁首 字元"/>
    <w:link w:val="a5"/>
    <w:uiPriority w:val="99"/>
    <w:rsid w:val="000661D6"/>
    <w:rPr>
      <w:kern w:val="2"/>
    </w:rPr>
  </w:style>
  <w:style w:type="paragraph" w:styleId="a7">
    <w:name w:val="footer"/>
    <w:basedOn w:val="a"/>
    <w:link w:val="a8"/>
    <w:uiPriority w:val="99"/>
    <w:rsid w:val="000661D6"/>
    <w:pPr>
      <w:tabs>
        <w:tab w:val="center" w:pos="4153"/>
        <w:tab w:val="right" w:pos="8306"/>
      </w:tabs>
      <w:snapToGrid w:val="0"/>
    </w:pPr>
    <w:rPr>
      <w:sz w:val="20"/>
    </w:rPr>
  </w:style>
  <w:style w:type="character" w:customStyle="1" w:styleId="a8">
    <w:name w:val="頁尾 字元"/>
    <w:link w:val="a7"/>
    <w:uiPriority w:val="99"/>
    <w:rsid w:val="000661D6"/>
    <w:rPr>
      <w:kern w:val="2"/>
    </w:rPr>
  </w:style>
  <w:style w:type="paragraph" w:styleId="a9">
    <w:name w:val="Plain Text"/>
    <w:basedOn w:val="a"/>
    <w:link w:val="aa"/>
    <w:uiPriority w:val="99"/>
    <w:unhideWhenUsed/>
    <w:rsid w:val="00F42AA6"/>
    <w:rPr>
      <w:rFonts w:ascii="細明體" w:eastAsia="細明體" w:hAnsi="Courier New"/>
    </w:rPr>
  </w:style>
  <w:style w:type="character" w:customStyle="1" w:styleId="aa">
    <w:name w:val="純文字 字元"/>
    <w:link w:val="a9"/>
    <w:uiPriority w:val="99"/>
    <w:rsid w:val="00F42AA6"/>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279204">
      <w:bodyDiv w:val="1"/>
      <w:marLeft w:val="0"/>
      <w:marRight w:val="0"/>
      <w:marTop w:val="0"/>
      <w:marBottom w:val="0"/>
      <w:divBdr>
        <w:top w:val="none" w:sz="0" w:space="0" w:color="auto"/>
        <w:left w:val="none" w:sz="0" w:space="0" w:color="auto"/>
        <w:bottom w:val="none" w:sz="0" w:space="0" w:color="auto"/>
        <w:right w:val="none" w:sz="0" w:space="0" w:color="auto"/>
      </w:divBdr>
    </w:div>
    <w:div w:id="542182460">
      <w:bodyDiv w:val="1"/>
      <w:marLeft w:val="0"/>
      <w:marRight w:val="0"/>
      <w:marTop w:val="0"/>
      <w:marBottom w:val="0"/>
      <w:divBdr>
        <w:top w:val="none" w:sz="0" w:space="0" w:color="auto"/>
        <w:left w:val="none" w:sz="0" w:space="0" w:color="auto"/>
        <w:bottom w:val="none" w:sz="0" w:space="0" w:color="auto"/>
        <w:right w:val="none" w:sz="0" w:space="0" w:color="auto"/>
      </w:divBdr>
    </w:div>
    <w:div w:id="577440749">
      <w:bodyDiv w:val="1"/>
      <w:marLeft w:val="0"/>
      <w:marRight w:val="0"/>
      <w:marTop w:val="0"/>
      <w:marBottom w:val="0"/>
      <w:divBdr>
        <w:top w:val="none" w:sz="0" w:space="0" w:color="auto"/>
        <w:left w:val="none" w:sz="0" w:space="0" w:color="auto"/>
        <w:bottom w:val="none" w:sz="0" w:space="0" w:color="auto"/>
        <w:right w:val="none" w:sz="0" w:space="0" w:color="auto"/>
      </w:divBdr>
    </w:div>
    <w:div w:id="613176886">
      <w:bodyDiv w:val="1"/>
      <w:marLeft w:val="0"/>
      <w:marRight w:val="0"/>
      <w:marTop w:val="0"/>
      <w:marBottom w:val="0"/>
      <w:divBdr>
        <w:top w:val="none" w:sz="0" w:space="0" w:color="auto"/>
        <w:left w:val="none" w:sz="0" w:space="0" w:color="auto"/>
        <w:bottom w:val="none" w:sz="0" w:space="0" w:color="auto"/>
        <w:right w:val="none" w:sz="0" w:space="0" w:color="auto"/>
      </w:divBdr>
    </w:div>
    <w:div w:id="916328063">
      <w:bodyDiv w:val="1"/>
      <w:marLeft w:val="0"/>
      <w:marRight w:val="0"/>
      <w:marTop w:val="0"/>
      <w:marBottom w:val="0"/>
      <w:divBdr>
        <w:top w:val="none" w:sz="0" w:space="0" w:color="auto"/>
        <w:left w:val="none" w:sz="0" w:space="0" w:color="auto"/>
        <w:bottom w:val="none" w:sz="0" w:space="0" w:color="auto"/>
        <w:right w:val="none" w:sz="0" w:space="0" w:color="auto"/>
      </w:divBdr>
    </w:div>
    <w:div w:id="1199509937">
      <w:bodyDiv w:val="1"/>
      <w:marLeft w:val="0"/>
      <w:marRight w:val="0"/>
      <w:marTop w:val="0"/>
      <w:marBottom w:val="0"/>
      <w:divBdr>
        <w:top w:val="none" w:sz="0" w:space="0" w:color="auto"/>
        <w:left w:val="none" w:sz="0" w:space="0" w:color="auto"/>
        <w:bottom w:val="none" w:sz="0" w:space="0" w:color="auto"/>
        <w:right w:val="none" w:sz="0" w:space="0" w:color="auto"/>
      </w:divBdr>
    </w:div>
    <w:div w:id="1822771974">
      <w:bodyDiv w:val="1"/>
      <w:marLeft w:val="0"/>
      <w:marRight w:val="0"/>
      <w:marTop w:val="0"/>
      <w:marBottom w:val="0"/>
      <w:divBdr>
        <w:top w:val="none" w:sz="0" w:space="0" w:color="auto"/>
        <w:left w:val="none" w:sz="0" w:space="0" w:color="auto"/>
        <w:bottom w:val="none" w:sz="0" w:space="0" w:color="auto"/>
        <w:right w:val="none" w:sz="0" w:space="0" w:color="auto"/>
      </w:divBdr>
    </w:div>
    <w:div w:id="203210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D61E16C6-0B63-4667-9330-EA03EBF4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2471</Words>
  <Characters>14085</Characters>
  <Application>Microsoft Office Word</Application>
  <DocSecurity>0</DocSecurity>
  <Lines>117</Lines>
  <Paragraphs>33</Paragraphs>
  <ScaleCrop>false</ScaleCrop>
  <Company>經濟部能源委員會</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     明</dc:title>
  <dc:subject/>
  <dc:creator>能源會</dc:creator>
  <cp:keywords/>
  <cp:lastModifiedBy>user</cp:lastModifiedBy>
  <cp:revision>7</cp:revision>
  <cp:lastPrinted>2024-05-31T00:30:00Z</cp:lastPrinted>
  <dcterms:created xsi:type="dcterms:W3CDTF">2024-06-03T10:12:00Z</dcterms:created>
  <dcterms:modified xsi:type="dcterms:W3CDTF">2024-06-07T06:01:00Z</dcterms:modified>
</cp:coreProperties>
</file>