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6E491" w14:textId="77777777" w:rsidR="00CE141C" w:rsidRPr="003F7589" w:rsidRDefault="00CE141C" w:rsidP="00CE141C">
      <w:pPr>
        <w:pStyle w:val="ab"/>
        <w:snapToGrid w:val="0"/>
        <w:spacing w:afterLines="50" w:after="180"/>
        <w:jc w:val="center"/>
        <w:rPr>
          <w:rFonts w:ascii="微軟正黑體" w:eastAsia="微軟正黑體" w:hAnsi="微軟正黑體"/>
          <w:b/>
          <w:sz w:val="44"/>
        </w:rPr>
      </w:pPr>
      <w:r w:rsidRPr="003F7589">
        <w:rPr>
          <w:rFonts w:ascii="微軟正黑體" w:eastAsia="微軟正黑體" w:hAnsi="微軟正黑體"/>
          <w:b/>
          <w:sz w:val="44"/>
        </w:rPr>
        <w:t>本年度資料修訂項目</w:t>
      </w:r>
    </w:p>
    <w:p w14:paraId="2D6B4CCB" w14:textId="77777777" w:rsidR="00CE141C" w:rsidRPr="003F7589" w:rsidRDefault="00CE141C" w:rsidP="00CE141C">
      <w:pPr>
        <w:pStyle w:val="a9"/>
        <w:spacing w:afterLines="50" w:after="180" w:line="360" w:lineRule="exact"/>
        <w:ind w:leftChars="-25" w:left="-60" w:firstLine="592"/>
        <w:jc w:val="both"/>
        <w:rPr>
          <w:rFonts w:ascii="微軟正黑體" w:eastAsia="微軟正黑體" w:hAnsi="微軟正黑體"/>
          <w:szCs w:val="24"/>
        </w:rPr>
      </w:pPr>
      <w:r w:rsidRPr="003F7589">
        <w:rPr>
          <w:rFonts w:ascii="微軟正黑體" w:eastAsia="微軟正黑體" w:hAnsi="微軟正黑體"/>
          <w:szCs w:val="24"/>
        </w:rPr>
        <w:t>本(113)年度配合主計總處第11次修正發布行業統計分類，以及能源供應業者及用戶修正歷史申報資料，執行相關之數據校正及統計作業，茲說明如下。</w:t>
      </w:r>
    </w:p>
    <w:p w14:paraId="086DD17B" w14:textId="77777777" w:rsidR="00CE141C" w:rsidRPr="003F7589" w:rsidRDefault="00CE141C" w:rsidP="00CE141C">
      <w:pPr>
        <w:pStyle w:val="a9"/>
        <w:numPr>
          <w:ilvl w:val="0"/>
          <w:numId w:val="2"/>
        </w:numPr>
        <w:spacing w:afterLines="25" w:after="90" w:line="360" w:lineRule="exact"/>
        <w:ind w:left="480" w:hangingChars="200" w:hanging="480"/>
        <w:jc w:val="both"/>
        <w:rPr>
          <w:rFonts w:ascii="微軟正黑體" w:eastAsia="微軟正黑體" w:hAnsi="微軟正黑體"/>
          <w:szCs w:val="24"/>
        </w:rPr>
      </w:pPr>
      <w:r w:rsidRPr="003F7589">
        <w:rPr>
          <w:rFonts w:ascii="微軟正黑體" w:eastAsia="微軟正黑體" w:hAnsi="微軟正黑體"/>
          <w:szCs w:val="24"/>
        </w:rPr>
        <w:t>能源指標項目增列：新增「初級能源密集度（公升油當量/千元）」指標，即產出每一單位之實質國內生產毛額所需供給之能源（初級能源總供給/實質國內生產毛額），資料期間為自民國71年迄今。</w:t>
      </w:r>
    </w:p>
    <w:p w14:paraId="780A04F7" w14:textId="77777777" w:rsidR="00CE141C" w:rsidRPr="003F7589" w:rsidRDefault="00CE141C" w:rsidP="00CE141C">
      <w:pPr>
        <w:pStyle w:val="a9"/>
        <w:numPr>
          <w:ilvl w:val="0"/>
          <w:numId w:val="2"/>
        </w:numPr>
        <w:spacing w:afterLines="25" w:after="90" w:line="360" w:lineRule="exact"/>
        <w:ind w:left="480" w:hangingChars="200" w:hanging="480"/>
        <w:jc w:val="both"/>
        <w:rPr>
          <w:rFonts w:ascii="微軟正黑體" w:eastAsia="微軟正黑體" w:hAnsi="微軟正黑體"/>
          <w:szCs w:val="24"/>
        </w:rPr>
      </w:pPr>
      <w:proofErr w:type="gramStart"/>
      <w:r w:rsidRPr="003F7589">
        <w:rPr>
          <w:rFonts w:ascii="微軟正黑體" w:eastAsia="微軟正黑體" w:hAnsi="微軟正黑體"/>
          <w:szCs w:val="24"/>
        </w:rPr>
        <w:t>行業別拆分</w:t>
      </w:r>
      <w:proofErr w:type="gramEnd"/>
      <w:r w:rsidRPr="003F7589">
        <w:rPr>
          <w:rFonts w:ascii="微軟正黑體" w:eastAsia="微軟正黑體" w:hAnsi="微軟正黑體"/>
          <w:szCs w:val="24"/>
        </w:rPr>
        <w:t>及名稱異動：配合主計總處第11次修正發布行業統計分類，針對服務業部門進行</w:t>
      </w:r>
      <w:proofErr w:type="gramStart"/>
      <w:r w:rsidRPr="003F7589">
        <w:rPr>
          <w:rFonts w:ascii="微軟正黑體" w:eastAsia="微軟正黑體" w:hAnsi="微軟正黑體"/>
          <w:szCs w:val="24"/>
        </w:rPr>
        <w:t>行業別拆分</w:t>
      </w:r>
      <w:proofErr w:type="gramEnd"/>
      <w:r w:rsidRPr="003F7589">
        <w:rPr>
          <w:rFonts w:ascii="微軟正黑體" w:eastAsia="微軟正黑體" w:hAnsi="微軟正黑體"/>
          <w:szCs w:val="24"/>
        </w:rPr>
        <w:t>，另調整</w:t>
      </w:r>
      <w:r w:rsidRPr="003F7589">
        <w:rPr>
          <w:rFonts w:ascii="微軟正黑體" w:eastAsia="微軟正黑體" w:hAnsi="微軟正黑體" w:hint="eastAsia"/>
          <w:szCs w:val="24"/>
        </w:rPr>
        <w:t>「</w:t>
      </w:r>
      <w:r w:rsidRPr="003F7589">
        <w:rPr>
          <w:rFonts w:ascii="微軟正黑體" w:eastAsia="微軟正黑體" w:hAnsi="微軟正黑體"/>
          <w:szCs w:val="24"/>
        </w:rPr>
        <w:t>能源部門自用</w:t>
      </w:r>
      <w:r w:rsidRPr="003F7589">
        <w:rPr>
          <w:rFonts w:ascii="微軟正黑體" w:eastAsia="微軟正黑體" w:hAnsi="微軟正黑體" w:hint="eastAsia"/>
          <w:szCs w:val="24"/>
        </w:rPr>
        <w:t>」</w:t>
      </w:r>
      <w:r w:rsidRPr="003F7589">
        <w:rPr>
          <w:rFonts w:ascii="微軟正黑體" w:eastAsia="微軟正黑體" w:hAnsi="微軟正黑體"/>
          <w:szCs w:val="24"/>
        </w:rPr>
        <w:t>、</w:t>
      </w:r>
      <w:r w:rsidRPr="003F7589">
        <w:rPr>
          <w:rFonts w:ascii="微軟正黑體" w:eastAsia="微軟正黑體" w:hAnsi="微軟正黑體" w:hint="eastAsia"/>
          <w:szCs w:val="24"/>
        </w:rPr>
        <w:t>「</w:t>
      </w:r>
      <w:r w:rsidRPr="003F7589">
        <w:rPr>
          <w:rFonts w:ascii="微軟正黑體" w:eastAsia="微軟正黑體" w:hAnsi="微軟正黑體"/>
          <w:szCs w:val="24"/>
        </w:rPr>
        <w:t>工業部門</w:t>
      </w:r>
      <w:r w:rsidRPr="003F7589">
        <w:rPr>
          <w:rFonts w:ascii="微軟正黑體" w:eastAsia="微軟正黑體" w:hAnsi="微軟正黑體" w:hint="eastAsia"/>
          <w:szCs w:val="24"/>
        </w:rPr>
        <w:t>」</w:t>
      </w:r>
      <w:r w:rsidRPr="003F7589">
        <w:rPr>
          <w:rFonts w:ascii="微軟正黑體" w:eastAsia="微軟正黑體" w:hAnsi="微軟正黑體"/>
          <w:szCs w:val="24"/>
        </w:rPr>
        <w:t>及</w:t>
      </w:r>
      <w:r w:rsidRPr="003F7589">
        <w:rPr>
          <w:rFonts w:ascii="微軟正黑體" w:eastAsia="微軟正黑體" w:hAnsi="微軟正黑體" w:hint="eastAsia"/>
          <w:szCs w:val="24"/>
        </w:rPr>
        <w:t>「</w:t>
      </w:r>
      <w:r w:rsidRPr="003F7589">
        <w:rPr>
          <w:rFonts w:ascii="微軟正黑體" w:eastAsia="微軟正黑體" w:hAnsi="微軟正黑體"/>
          <w:szCs w:val="24"/>
        </w:rPr>
        <w:t>服務業部門</w:t>
      </w:r>
      <w:r w:rsidRPr="003F7589">
        <w:rPr>
          <w:rFonts w:ascii="微軟正黑體" w:eastAsia="微軟正黑體" w:hAnsi="微軟正黑體" w:hint="eastAsia"/>
          <w:szCs w:val="24"/>
        </w:rPr>
        <w:t>」等類別之</w:t>
      </w:r>
      <w:r w:rsidRPr="003F7589">
        <w:rPr>
          <w:rFonts w:ascii="微軟正黑體" w:eastAsia="微軟正黑體" w:hAnsi="微軟正黑體"/>
          <w:szCs w:val="24"/>
        </w:rPr>
        <w:t>部分行業別名稱。因106年以前之業者資料無法溯及，故自107年起採用前述行業別調整後之新格式，106年以前仍維持既有格式。</w:t>
      </w:r>
    </w:p>
    <w:p w14:paraId="336D7B28" w14:textId="77777777" w:rsidR="00CE141C" w:rsidRPr="003F7589" w:rsidRDefault="00CE141C" w:rsidP="00CE141C">
      <w:pPr>
        <w:pStyle w:val="a9"/>
        <w:numPr>
          <w:ilvl w:val="0"/>
          <w:numId w:val="2"/>
        </w:numPr>
        <w:spacing w:afterLines="25" w:after="90" w:line="360" w:lineRule="exact"/>
        <w:ind w:left="480" w:hangingChars="200" w:hanging="480"/>
        <w:jc w:val="both"/>
        <w:rPr>
          <w:rFonts w:ascii="微軟正黑體" w:eastAsia="微軟正黑體" w:hAnsi="微軟正黑體"/>
          <w:szCs w:val="24"/>
        </w:rPr>
      </w:pPr>
      <w:r w:rsidRPr="003F7589">
        <w:rPr>
          <w:rFonts w:ascii="微軟正黑體" w:eastAsia="微軟正黑體" w:hAnsi="微軟正黑體"/>
          <w:szCs w:val="24"/>
        </w:rPr>
        <w:t>能源別供需資料校正：</w:t>
      </w:r>
    </w:p>
    <w:p w14:paraId="0A1A7817" w14:textId="77777777" w:rsidR="00CE141C" w:rsidRPr="003F7589" w:rsidRDefault="00CE141C" w:rsidP="00CE141C">
      <w:pPr>
        <w:pStyle w:val="a9"/>
        <w:numPr>
          <w:ilvl w:val="0"/>
          <w:numId w:val="3"/>
        </w:numPr>
        <w:spacing w:afterLines="25" w:after="90" w:line="360" w:lineRule="exact"/>
        <w:ind w:leftChars="100" w:left="720" w:hangingChars="200" w:hanging="480"/>
        <w:jc w:val="both"/>
        <w:rPr>
          <w:rFonts w:ascii="微軟正黑體" w:eastAsia="微軟正黑體" w:hAnsi="微軟正黑體"/>
          <w:szCs w:val="24"/>
        </w:rPr>
      </w:pPr>
      <w:r w:rsidRPr="003F7589">
        <w:rPr>
          <w:rFonts w:ascii="微軟正黑體" w:eastAsia="微軟正黑體" w:hAnsi="微軟正黑體"/>
          <w:szCs w:val="24"/>
        </w:rPr>
        <w:t>煤炭統計：依業者申報資料修正，調整112年燃料煤之存貨變動及進口數量。</w:t>
      </w:r>
    </w:p>
    <w:p w14:paraId="347DB391" w14:textId="77777777" w:rsidR="00CE141C" w:rsidRPr="003F7589" w:rsidRDefault="00CE141C" w:rsidP="00CE141C">
      <w:pPr>
        <w:pStyle w:val="a9"/>
        <w:numPr>
          <w:ilvl w:val="0"/>
          <w:numId w:val="3"/>
        </w:numPr>
        <w:spacing w:afterLines="25" w:after="90" w:line="360" w:lineRule="exact"/>
        <w:ind w:leftChars="100" w:left="720" w:hangingChars="200" w:hanging="480"/>
        <w:jc w:val="both"/>
        <w:rPr>
          <w:rFonts w:ascii="微軟正黑體" w:eastAsia="微軟正黑體" w:hAnsi="微軟正黑體"/>
          <w:szCs w:val="24"/>
        </w:rPr>
      </w:pPr>
      <w:r w:rsidRPr="003F7589">
        <w:rPr>
          <w:rFonts w:ascii="微軟正黑體" w:eastAsia="微軟正黑體" w:hAnsi="微軟正黑體"/>
          <w:szCs w:val="24"/>
        </w:rPr>
        <w:t>油品統計：配合關務署年度資料校正，調整112年各月部分石油產品進出口數量。</w:t>
      </w:r>
    </w:p>
    <w:p w14:paraId="555E97C4" w14:textId="77777777" w:rsidR="00CE141C" w:rsidRPr="003F7589" w:rsidRDefault="00CE141C" w:rsidP="00CE141C">
      <w:pPr>
        <w:pStyle w:val="a9"/>
        <w:numPr>
          <w:ilvl w:val="0"/>
          <w:numId w:val="3"/>
        </w:numPr>
        <w:spacing w:afterLines="25" w:after="90" w:line="360" w:lineRule="exact"/>
        <w:ind w:leftChars="100" w:left="720" w:hangingChars="200" w:hanging="480"/>
        <w:jc w:val="both"/>
        <w:rPr>
          <w:rFonts w:ascii="微軟正黑體" w:eastAsia="微軟正黑體" w:hAnsi="微軟正黑體"/>
          <w:szCs w:val="24"/>
        </w:rPr>
      </w:pPr>
      <w:r w:rsidRPr="003F7589">
        <w:rPr>
          <w:rFonts w:ascii="微軟正黑體" w:eastAsia="微軟正黑體" w:hAnsi="微軟正黑體"/>
          <w:szCs w:val="24"/>
        </w:rPr>
        <w:t>天然氣統計：依公用天然氣業者申報資料修正及產銷行為變化，調整107年迄今天然氣行業別銷售資料，並追溯調整111至112年（進口）液化天然氣存貨變動、產品間轉換（轉出），以及產品間轉換（轉入）數值。</w:t>
      </w:r>
    </w:p>
    <w:p w14:paraId="28F12F18" w14:textId="77777777" w:rsidR="00CE141C" w:rsidRPr="003F7589" w:rsidRDefault="00CE141C" w:rsidP="00CE141C">
      <w:pPr>
        <w:pStyle w:val="a9"/>
        <w:numPr>
          <w:ilvl w:val="0"/>
          <w:numId w:val="3"/>
        </w:numPr>
        <w:spacing w:afterLines="25" w:after="90" w:line="360" w:lineRule="exact"/>
        <w:ind w:leftChars="100" w:left="720" w:hangingChars="200" w:hanging="480"/>
        <w:jc w:val="both"/>
        <w:rPr>
          <w:rFonts w:ascii="微軟正黑體" w:eastAsia="微軟正黑體" w:hAnsi="微軟正黑體"/>
          <w:szCs w:val="24"/>
        </w:rPr>
      </w:pPr>
      <w:r w:rsidRPr="003F7589">
        <w:rPr>
          <w:rFonts w:ascii="微軟正黑體" w:eastAsia="微軟正黑體" w:hAnsi="微軟正黑體"/>
          <w:szCs w:val="24"/>
        </w:rPr>
        <w:t>電力統計：</w:t>
      </w:r>
    </w:p>
    <w:p w14:paraId="47A86CFB" w14:textId="77777777" w:rsidR="00CE141C" w:rsidRPr="003F7589" w:rsidRDefault="00CE141C" w:rsidP="00CE141C">
      <w:pPr>
        <w:pStyle w:val="a9"/>
        <w:numPr>
          <w:ilvl w:val="0"/>
          <w:numId w:val="4"/>
        </w:numPr>
        <w:spacing w:afterLines="25" w:after="90" w:line="360" w:lineRule="exact"/>
        <w:ind w:leftChars="250" w:left="840" w:hangingChars="100" w:hanging="240"/>
        <w:jc w:val="both"/>
        <w:rPr>
          <w:rFonts w:ascii="微軟正黑體" w:eastAsia="微軟正黑體" w:hAnsi="微軟正黑體"/>
          <w:szCs w:val="24"/>
        </w:rPr>
      </w:pPr>
      <w:proofErr w:type="gramStart"/>
      <w:r w:rsidRPr="003F7589">
        <w:rPr>
          <w:rFonts w:ascii="微軟正黑體" w:eastAsia="微軟正黑體" w:hAnsi="微軟正黑體"/>
          <w:szCs w:val="24"/>
        </w:rPr>
        <w:t>併聯試</w:t>
      </w:r>
      <w:proofErr w:type="gramEnd"/>
      <w:r w:rsidRPr="003F7589">
        <w:rPr>
          <w:rFonts w:ascii="微軟正黑體" w:eastAsia="微軟正黑體" w:hAnsi="微軟正黑體"/>
          <w:szCs w:val="24"/>
        </w:rPr>
        <w:t>運轉電量追溯：追溯112年新增再生能源發電業之申報發電資料，調整108至112年風力及太陽光電之電量相關統計數值。</w:t>
      </w:r>
    </w:p>
    <w:p w14:paraId="2369BB0B" w14:textId="77777777" w:rsidR="00CE141C" w:rsidRPr="003F7589" w:rsidRDefault="00CE141C" w:rsidP="00CE141C">
      <w:pPr>
        <w:pStyle w:val="a9"/>
        <w:numPr>
          <w:ilvl w:val="0"/>
          <w:numId w:val="4"/>
        </w:numPr>
        <w:spacing w:afterLines="25" w:after="90" w:line="360" w:lineRule="exact"/>
        <w:ind w:leftChars="250" w:left="840" w:hangingChars="100" w:hanging="240"/>
        <w:jc w:val="both"/>
        <w:rPr>
          <w:rFonts w:ascii="微軟正黑體" w:eastAsia="微軟正黑體" w:hAnsi="微軟正黑體"/>
          <w:szCs w:val="24"/>
        </w:rPr>
      </w:pPr>
      <w:r w:rsidRPr="003F7589">
        <w:rPr>
          <w:rFonts w:ascii="微軟正黑體" w:eastAsia="微軟正黑體" w:hAnsi="微軟正黑體"/>
          <w:szCs w:val="24"/>
        </w:rPr>
        <w:t>運輸部門電力資料修訂：</w:t>
      </w:r>
    </w:p>
    <w:p w14:paraId="2A395104" w14:textId="77777777" w:rsidR="00CE141C" w:rsidRPr="003F7589" w:rsidRDefault="00CE141C" w:rsidP="00CE141C">
      <w:pPr>
        <w:pStyle w:val="a9"/>
        <w:numPr>
          <w:ilvl w:val="0"/>
          <w:numId w:val="5"/>
        </w:numPr>
        <w:spacing w:afterLines="25" w:after="90" w:line="360" w:lineRule="exact"/>
        <w:ind w:leftChars="350" w:left="1200" w:hangingChars="150"/>
        <w:jc w:val="both"/>
        <w:rPr>
          <w:rFonts w:ascii="微軟正黑體" w:eastAsia="微軟正黑體" w:hAnsi="微軟正黑體"/>
          <w:szCs w:val="24"/>
        </w:rPr>
      </w:pPr>
      <w:r w:rsidRPr="003F7589">
        <w:rPr>
          <w:rFonts w:ascii="微軟正黑體" w:eastAsia="微軟正黑體" w:hAnsi="微軟正黑體"/>
          <w:szCs w:val="24"/>
        </w:rPr>
        <w:t>公路（電動運具）：配合交通部公路局更新112年車輛數資料，重新計算公路電力消費量。</w:t>
      </w:r>
    </w:p>
    <w:p w14:paraId="73E5CCE2" w14:textId="77777777" w:rsidR="00CE141C" w:rsidRPr="003F7589" w:rsidRDefault="00CE141C" w:rsidP="00CE141C">
      <w:pPr>
        <w:pStyle w:val="a9"/>
        <w:numPr>
          <w:ilvl w:val="0"/>
          <w:numId w:val="5"/>
        </w:numPr>
        <w:spacing w:afterLines="25" w:after="90" w:line="360" w:lineRule="exact"/>
        <w:ind w:leftChars="350" w:left="1200" w:hangingChars="150"/>
        <w:jc w:val="both"/>
        <w:rPr>
          <w:rFonts w:ascii="微軟正黑體" w:eastAsia="微軟正黑體" w:hAnsi="微軟正黑體"/>
          <w:szCs w:val="24"/>
        </w:rPr>
      </w:pPr>
      <w:r w:rsidRPr="003F7589">
        <w:rPr>
          <w:rFonts w:ascii="微軟正黑體" w:eastAsia="微軟正黑體" w:hAnsi="微軟正黑體"/>
          <w:szCs w:val="24"/>
        </w:rPr>
        <w:t>鐵路：配合捷運公司修正場站與軌道用電資料，調整109至112年各月鐵路電力消費量。</w:t>
      </w:r>
    </w:p>
    <w:p w14:paraId="51F1F06A" w14:textId="77777777" w:rsidR="00CE141C" w:rsidRPr="003F7589" w:rsidRDefault="00CE141C" w:rsidP="00CE141C">
      <w:pPr>
        <w:pStyle w:val="a9"/>
        <w:numPr>
          <w:ilvl w:val="0"/>
          <w:numId w:val="4"/>
        </w:numPr>
        <w:spacing w:afterLines="25" w:after="90" w:line="360" w:lineRule="exact"/>
        <w:ind w:leftChars="250" w:left="840" w:hangingChars="100" w:hanging="240"/>
        <w:jc w:val="both"/>
        <w:rPr>
          <w:rFonts w:ascii="微軟正黑體" w:eastAsia="微軟正黑體" w:hAnsi="微軟正黑體"/>
          <w:sz w:val="28"/>
          <w:szCs w:val="28"/>
        </w:rPr>
      </w:pPr>
      <w:r w:rsidRPr="003F7589">
        <w:rPr>
          <w:rFonts w:ascii="微軟正黑體" w:eastAsia="微軟正黑體" w:hAnsi="微軟正黑體"/>
          <w:szCs w:val="24"/>
        </w:rPr>
        <w:t>配合自用發電設備業者修正其燃料用量、發電量及製程蒸汽產量等，調整自101年9月迄今之相關能源別消費量、轉變投入，以及電力、熱能供需數值。</w:t>
      </w:r>
    </w:p>
    <w:p w14:paraId="7BE86D50" w14:textId="77777777" w:rsidR="00415B72" w:rsidRPr="00415B72" w:rsidRDefault="00415B72" w:rsidP="00415B72">
      <w:pPr>
        <w:widowControl/>
        <w:rPr>
          <w:rFonts w:eastAsia="微軟正黑體"/>
          <w:b/>
          <w:sz w:val="44"/>
          <w:szCs w:val="22"/>
        </w:rPr>
      </w:pPr>
      <w:r w:rsidRPr="00415B72">
        <w:rPr>
          <w:rFonts w:eastAsia="微軟正黑體"/>
          <w:b/>
          <w:sz w:val="44"/>
          <w:szCs w:val="22"/>
        </w:rPr>
        <w:br w:type="page"/>
      </w:r>
    </w:p>
    <w:p w14:paraId="1EB67D8A" w14:textId="77777777" w:rsidR="00415B72" w:rsidRPr="00415B72" w:rsidRDefault="00415B72" w:rsidP="00415B72">
      <w:pPr>
        <w:widowControl/>
        <w:jc w:val="center"/>
        <w:rPr>
          <w:rFonts w:ascii="Arial" w:eastAsia="微軟正黑體" w:hAnsi="Arial" w:cs="Arial"/>
          <w:b/>
          <w:sz w:val="44"/>
          <w:szCs w:val="22"/>
        </w:rPr>
      </w:pPr>
      <w:r w:rsidRPr="00415B72">
        <w:rPr>
          <w:rFonts w:ascii="Arial" w:eastAsia="微軟正黑體" w:hAnsi="Arial" w:cs="Arial"/>
          <w:b/>
          <w:sz w:val="44"/>
          <w:szCs w:val="22"/>
        </w:rPr>
        <w:lastRenderedPageBreak/>
        <w:t>Data Correction in the 2023 Edition</w:t>
      </w:r>
    </w:p>
    <w:p w14:paraId="59FAEB20" w14:textId="77777777" w:rsidR="00415B72" w:rsidRPr="00415B72" w:rsidRDefault="00415B72" w:rsidP="00415B72">
      <w:pPr>
        <w:spacing w:line="500" w:lineRule="exact"/>
        <w:jc w:val="both"/>
        <w:rPr>
          <w:rFonts w:ascii="Arial" w:eastAsia="微軟正黑體" w:hAnsi="Arial" w:cs="Arial"/>
          <w:szCs w:val="24"/>
        </w:rPr>
      </w:pPr>
      <w:r w:rsidRPr="00415B72">
        <w:rPr>
          <w:rFonts w:ascii="Arial" w:eastAsia="微軟正黑體" w:hAnsi="Arial" w:cs="Arial"/>
          <w:szCs w:val="24"/>
        </w:rPr>
        <w:t>To improve data quality continuously, the Energy Administration made the following amendments according to the data revision of energy suppliers and users:</w:t>
      </w:r>
    </w:p>
    <w:p w14:paraId="0A1B1C38" w14:textId="77777777" w:rsidR="00415B72" w:rsidRPr="00415B72" w:rsidRDefault="00415B72" w:rsidP="00415B72">
      <w:pPr>
        <w:numPr>
          <w:ilvl w:val="0"/>
          <w:numId w:val="1"/>
        </w:numPr>
        <w:spacing w:line="500" w:lineRule="exact"/>
        <w:ind w:left="357" w:hanging="357"/>
        <w:jc w:val="both"/>
        <w:rPr>
          <w:rFonts w:ascii="Arial" w:eastAsia="微軟正黑體" w:hAnsi="Arial" w:cs="Arial"/>
          <w:szCs w:val="24"/>
        </w:rPr>
      </w:pPr>
      <w:r w:rsidRPr="00415B72">
        <w:rPr>
          <w:rFonts w:ascii="Arial" w:eastAsia="微軟正黑體" w:hAnsi="Arial" w:cs="Arial"/>
          <w:szCs w:val="24"/>
        </w:rPr>
        <w:t>Energy Indicators Addition: Primary Energy Intensity (liters of oil equivalent/thousand dollars), that is the amount of energy supplied per unit of real GDP (total primary energy supply/real GDP), has been added, and backdated to 1982.</w:t>
      </w:r>
    </w:p>
    <w:p w14:paraId="4D1651E8" w14:textId="77777777" w:rsidR="00415B72" w:rsidRPr="00415B72" w:rsidRDefault="00415B72" w:rsidP="00415B72">
      <w:pPr>
        <w:numPr>
          <w:ilvl w:val="0"/>
          <w:numId w:val="1"/>
        </w:numPr>
        <w:spacing w:line="500" w:lineRule="exact"/>
        <w:ind w:left="357" w:hanging="357"/>
        <w:jc w:val="both"/>
        <w:rPr>
          <w:rFonts w:ascii="Arial" w:eastAsia="微軟正黑體" w:hAnsi="Arial" w:cs="Arial"/>
          <w:szCs w:val="24"/>
        </w:rPr>
      </w:pPr>
      <w:r w:rsidRPr="00415B72">
        <w:rPr>
          <w:rFonts w:ascii="Arial" w:eastAsia="微軟正黑體" w:hAnsi="Arial" w:cs="Arial"/>
          <w:szCs w:val="24"/>
        </w:rPr>
        <w:t>Industrial Classification and Description Revision: To tie in with the 11th industrial classification of the Directorate General of Budget, Accounting and Statistics (DGBAS) of Executive Yuan, the service sector has been reclassified. Descriptions of some industries of “Energy Sector Own Use”, “Industrial Sector” and “Service Sector” have been adjusted.</w:t>
      </w:r>
      <w:r w:rsidRPr="00415B72">
        <w:rPr>
          <w:rFonts w:ascii="Arial" w:eastAsia="微軟正黑體" w:hAnsi="Arial" w:cs="Arial"/>
          <w:color w:val="C0504D"/>
          <w:szCs w:val="24"/>
        </w:rPr>
        <w:t xml:space="preserve"> </w:t>
      </w:r>
      <w:r w:rsidRPr="00415B72">
        <w:rPr>
          <w:rFonts w:ascii="Arial" w:eastAsia="微軟正黑體" w:hAnsi="Arial" w:cs="Arial"/>
          <w:szCs w:val="24"/>
        </w:rPr>
        <w:t>Due to the data limitation, the data prior to 2017 couldn’t be back tracked and remained the original classification. The aforementioned re-classification and adjustments have only been in place since 2018.</w:t>
      </w:r>
    </w:p>
    <w:p w14:paraId="6C5108A5" w14:textId="77777777" w:rsidR="00415B72" w:rsidRPr="00415B72" w:rsidRDefault="00415B72" w:rsidP="00415B72">
      <w:pPr>
        <w:numPr>
          <w:ilvl w:val="0"/>
          <w:numId w:val="1"/>
        </w:numPr>
        <w:spacing w:line="500" w:lineRule="exact"/>
        <w:ind w:left="357" w:hanging="357"/>
        <w:jc w:val="both"/>
        <w:rPr>
          <w:rFonts w:ascii="Arial" w:eastAsia="微軟正黑體" w:hAnsi="Arial" w:cs="Arial"/>
          <w:szCs w:val="24"/>
        </w:rPr>
      </w:pPr>
      <w:r w:rsidRPr="00415B72">
        <w:rPr>
          <w:rFonts w:ascii="Arial" w:eastAsia="微軟正黑體" w:hAnsi="Arial" w:cs="Arial"/>
          <w:szCs w:val="24"/>
        </w:rPr>
        <w:t xml:space="preserve">Energy Supply and Demand Revision: </w:t>
      </w:r>
    </w:p>
    <w:p w14:paraId="7BC59A33" w14:textId="77777777" w:rsidR="00415B72" w:rsidRPr="00415B72" w:rsidRDefault="00415B72" w:rsidP="00415B72">
      <w:pPr>
        <w:numPr>
          <w:ilvl w:val="1"/>
          <w:numId w:val="1"/>
        </w:numPr>
        <w:spacing w:line="500" w:lineRule="exact"/>
        <w:ind w:leftChars="100" w:left="600" w:hangingChars="150"/>
        <w:jc w:val="both"/>
        <w:rPr>
          <w:rFonts w:ascii="Arial" w:eastAsia="微軟正黑體" w:hAnsi="Arial" w:cs="Arial"/>
          <w:szCs w:val="24"/>
        </w:rPr>
      </w:pPr>
      <w:r w:rsidRPr="00415B72">
        <w:rPr>
          <w:rFonts w:ascii="Arial" w:eastAsia="微軟正黑體" w:hAnsi="Arial" w:cs="Arial"/>
          <w:szCs w:val="24"/>
        </w:rPr>
        <w:t>Coal: Adjusted the Stock Changes and Import of fuel coal (Steam Coal) in 2023 in accordance with data correction from the industries.</w:t>
      </w:r>
    </w:p>
    <w:p w14:paraId="66B984E5" w14:textId="77777777" w:rsidR="00415B72" w:rsidRPr="00415B72" w:rsidRDefault="00415B72" w:rsidP="00415B72">
      <w:pPr>
        <w:numPr>
          <w:ilvl w:val="1"/>
          <w:numId w:val="1"/>
        </w:numPr>
        <w:spacing w:line="500" w:lineRule="exact"/>
        <w:ind w:leftChars="100" w:left="600" w:hangingChars="150"/>
        <w:jc w:val="both"/>
        <w:rPr>
          <w:rFonts w:ascii="Arial" w:eastAsia="微軟正黑體" w:hAnsi="Arial" w:cs="Arial"/>
          <w:szCs w:val="24"/>
        </w:rPr>
      </w:pPr>
      <w:r w:rsidRPr="00415B72">
        <w:rPr>
          <w:rFonts w:ascii="Arial" w:eastAsia="微軟正黑體" w:hAnsi="Arial" w:cs="Arial"/>
          <w:szCs w:val="24"/>
        </w:rPr>
        <w:t>Oil: Revised the import and export quantities of some petroleum products for each month of 2023 in order to tie in with the annual data correction of the Customs Administration.</w:t>
      </w:r>
    </w:p>
    <w:p w14:paraId="762C3475" w14:textId="77777777" w:rsidR="00415B72" w:rsidRPr="00415B72" w:rsidRDefault="00415B72" w:rsidP="00415B72">
      <w:pPr>
        <w:numPr>
          <w:ilvl w:val="1"/>
          <w:numId w:val="1"/>
        </w:numPr>
        <w:spacing w:line="500" w:lineRule="exact"/>
        <w:ind w:leftChars="100" w:left="600" w:hangingChars="150"/>
        <w:jc w:val="both"/>
        <w:rPr>
          <w:rFonts w:ascii="Arial" w:eastAsia="微軟正黑體" w:hAnsi="Arial" w:cs="Arial"/>
          <w:szCs w:val="24"/>
        </w:rPr>
      </w:pPr>
      <w:r w:rsidRPr="00415B72">
        <w:rPr>
          <w:rFonts w:ascii="Arial" w:eastAsia="微軟正黑體" w:hAnsi="Arial" w:cs="Arial"/>
          <w:szCs w:val="24"/>
        </w:rPr>
        <w:t xml:space="preserve">Natural Gas: According to the data correction and the changes in production and sales of Natural gas supply enterprises, the natural gas industrial sales data have been revised since 2018 and the Stock Changes, Transfers (Input) and Transfers (Output) of LNG in 2022 and 2023 have been adjusted. </w:t>
      </w:r>
    </w:p>
    <w:p w14:paraId="18E56298" w14:textId="77777777" w:rsidR="00415B72" w:rsidRPr="00415B72" w:rsidRDefault="00415B72" w:rsidP="00415B72">
      <w:pPr>
        <w:numPr>
          <w:ilvl w:val="1"/>
          <w:numId w:val="1"/>
        </w:numPr>
        <w:spacing w:line="500" w:lineRule="exact"/>
        <w:ind w:leftChars="100" w:left="600" w:hangingChars="150"/>
        <w:jc w:val="both"/>
        <w:rPr>
          <w:rFonts w:ascii="Arial" w:eastAsia="微軟正黑體" w:hAnsi="Arial" w:cs="Arial"/>
          <w:szCs w:val="24"/>
        </w:rPr>
      </w:pPr>
      <w:r w:rsidRPr="00415B72">
        <w:rPr>
          <w:rFonts w:ascii="Arial" w:eastAsia="微軟正黑體" w:hAnsi="Arial" w:cs="Arial"/>
          <w:szCs w:val="24"/>
        </w:rPr>
        <w:lastRenderedPageBreak/>
        <w:t>Electricity</w:t>
      </w:r>
    </w:p>
    <w:p w14:paraId="33041EE3" w14:textId="77777777" w:rsidR="00415B72" w:rsidRPr="00415B72" w:rsidRDefault="00415B72" w:rsidP="00415B72">
      <w:pPr>
        <w:numPr>
          <w:ilvl w:val="2"/>
          <w:numId w:val="1"/>
        </w:numPr>
        <w:spacing w:line="500" w:lineRule="exact"/>
        <w:ind w:leftChars="300" w:left="840" w:hangingChars="50" w:hanging="120"/>
        <w:jc w:val="both"/>
        <w:rPr>
          <w:rFonts w:ascii="Arial" w:eastAsia="微軟正黑體" w:hAnsi="Arial" w:cs="Arial"/>
          <w:szCs w:val="24"/>
        </w:rPr>
      </w:pPr>
      <w:r w:rsidRPr="00415B72">
        <w:rPr>
          <w:rFonts w:ascii="Arial" w:eastAsia="微軟正黑體" w:hAnsi="Arial" w:cs="Arial"/>
          <w:szCs w:val="24"/>
        </w:rPr>
        <w:t>The electricity generation of wind and solar PV has been adjusted from 2019 to 2023 according to the supplementary reports of electricity generation enterprises during the trial operation period.</w:t>
      </w:r>
    </w:p>
    <w:p w14:paraId="4021B0BF" w14:textId="77777777" w:rsidR="00415B72" w:rsidRPr="00415B72" w:rsidRDefault="00415B72" w:rsidP="00415B72">
      <w:pPr>
        <w:numPr>
          <w:ilvl w:val="2"/>
          <w:numId w:val="1"/>
        </w:numPr>
        <w:spacing w:line="500" w:lineRule="exact"/>
        <w:ind w:leftChars="300" w:left="840" w:hangingChars="50" w:hanging="120"/>
        <w:jc w:val="both"/>
        <w:rPr>
          <w:rFonts w:ascii="Arial" w:eastAsia="微軟正黑體" w:hAnsi="Arial" w:cs="Arial"/>
          <w:szCs w:val="24"/>
        </w:rPr>
      </w:pPr>
      <w:r w:rsidRPr="00415B72">
        <w:rPr>
          <w:rFonts w:ascii="Arial" w:eastAsia="微軟正黑體" w:hAnsi="Arial" w:cs="Arial"/>
          <w:szCs w:val="24"/>
        </w:rPr>
        <w:t>Transport Sector Electricity Data Revision</w:t>
      </w:r>
    </w:p>
    <w:p w14:paraId="678677C2" w14:textId="77777777" w:rsidR="00415B72" w:rsidRPr="00415B72" w:rsidRDefault="00415B72" w:rsidP="00415B72">
      <w:pPr>
        <w:numPr>
          <w:ilvl w:val="4"/>
          <w:numId w:val="1"/>
        </w:numPr>
        <w:spacing w:line="500" w:lineRule="exact"/>
        <w:ind w:leftChars="250" w:left="960" w:hangingChars="150" w:hanging="360"/>
        <w:jc w:val="both"/>
        <w:rPr>
          <w:rFonts w:ascii="Arial" w:eastAsia="微軟正黑體" w:hAnsi="Arial" w:cs="Arial"/>
          <w:szCs w:val="24"/>
        </w:rPr>
      </w:pPr>
      <w:r w:rsidRPr="00415B72">
        <w:rPr>
          <w:rFonts w:ascii="Arial" w:eastAsia="微軟正黑體" w:hAnsi="Arial" w:cs="Arial"/>
          <w:szCs w:val="24"/>
        </w:rPr>
        <w:t>Highway (electric vehicle, EV): The highway electricity consumption has been recalculated while the Highway Bureau has updated the quantity of EV in 2023.</w:t>
      </w:r>
    </w:p>
    <w:p w14:paraId="2CAD4EA8" w14:textId="77777777" w:rsidR="00415B72" w:rsidRPr="00415B72" w:rsidRDefault="00415B72" w:rsidP="00415B72">
      <w:pPr>
        <w:numPr>
          <w:ilvl w:val="4"/>
          <w:numId w:val="1"/>
        </w:numPr>
        <w:spacing w:line="500" w:lineRule="exact"/>
        <w:ind w:leftChars="250" w:left="960" w:hangingChars="150" w:hanging="360"/>
        <w:jc w:val="both"/>
        <w:rPr>
          <w:rFonts w:ascii="Arial" w:eastAsia="微軟正黑體" w:hAnsi="Arial" w:cs="Arial"/>
          <w:szCs w:val="24"/>
        </w:rPr>
      </w:pPr>
      <w:r w:rsidRPr="00415B72">
        <w:rPr>
          <w:rFonts w:ascii="Arial" w:eastAsia="微軟正黑體" w:hAnsi="Arial" w:cs="Arial"/>
          <w:szCs w:val="24"/>
        </w:rPr>
        <w:t>Railway: The railway electricity consumption in each month of 2020 to 2023 have been adjusted according to the metro companies corrected the electricity consumption of stations and tracks.</w:t>
      </w:r>
    </w:p>
    <w:p w14:paraId="0FAF3C34" w14:textId="77777777" w:rsidR="00415B72" w:rsidRPr="00415B72" w:rsidRDefault="00415B72" w:rsidP="00415B72">
      <w:pPr>
        <w:numPr>
          <w:ilvl w:val="4"/>
          <w:numId w:val="1"/>
        </w:numPr>
        <w:spacing w:line="500" w:lineRule="exact"/>
        <w:ind w:leftChars="250" w:left="960" w:hangingChars="150" w:hanging="360"/>
        <w:jc w:val="both"/>
        <w:rPr>
          <w:rFonts w:ascii="Arial" w:eastAsia="微軟正黑體" w:hAnsi="Arial" w:cs="Arial"/>
          <w:szCs w:val="24"/>
        </w:rPr>
      </w:pPr>
      <w:r w:rsidRPr="00415B72">
        <w:rPr>
          <w:rFonts w:ascii="Arial" w:eastAsia="微軟正黑體" w:hAnsi="Arial" w:cs="Arial"/>
          <w:szCs w:val="24"/>
        </w:rPr>
        <w:t>From September 2012 to date, with the revision of the use of waste, biogas, fuel oil, power generation and process steam of the auto producers, the related energy consumption and transformation inputs, as well as the supply and demand of electricity and heat, have changed.</w:t>
      </w:r>
    </w:p>
    <w:p w14:paraId="07686A35" w14:textId="77777777" w:rsidR="00415B72" w:rsidRPr="00415B72" w:rsidRDefault="00415B72" w:rsidP="005D10D1">
      <w:pPr>
        <w:spacing w:line="400" w:lineRule="exact"/>
        <w:jc w:val="center"/>
        <w:rPr>
          <w:rFonts w:ascii="Arial" w:eastAsia="微軟正黑體" w:hAnsi="Arial"/>
          <w:b/>
          <w:sz w:val="32"/>
        </w:rPr>
      </w:pPr>
    </w:p>
    <w:p w14:paraId="7F7CE2C2" w14:textId="23820F59" w:rsidR="00415B72" w:rsidRDefault="00415B72">
      <w:pPr>
        <w:widowControl/>
        <w:rPr>
          <w:rFonts w:ascii="Arial" w:eastAsia="微軟正黑體" w:hAnsi="Arial"/>
          <w:b/>
          <w:sz w:val="32"/>
        </w:rPr>
      </w:pPr>
    </w:p>
    <w:sectPr w:rsidR="00415B7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7D17E" w14:textId="77777777" w:rsidR="00B043E3" w:rsidRDefault="00B043E3" w:rsidP="00312268">
      <w:r>
        <w:separator/>
      </w:r>
    </w:p>
  </w:endnote>
  <w:endnote w:type="continuationSeparator" w:id="0">
    <w:p w14:paraId="691E2DF4" w14:textId="77777777" w:rsidR="00B043E3" w:rsidRDefault="00B043E3" w:rsidP="0031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296642"/>
      <w:docPartObj>
        <w:docPartGallery w:val="Page Numbers (Bottom of Page)"/>
        <w:docPartUnique/>
      </w:docPartObj>
    </w:sdtPr>
    <w:sdtContent>
      <w:p w14:paraId="6FA3BE23" w14:textId="721745E9" w:rsidR="00032F11" w:rsidRDefault="00032F11">
        <w:pPr>
          <w:pStyle w:val="a5"/>
          <w:jc w:val="center"/>
        </w:pPr>
        <w:r>
          <w:fldChar w:fldCharType="begin"/>
        </w:r>
        <w:r>
          <w:instrText>PAGE   \* MERGEFORMAT</w:instrText>
        </w:r>
        <w:r>
          <w:fldChar w:fldCharType="separate"/>
        </w:r>
        <w:r>
          <w:rPr>
            <w:lang w:val="zh-TW" w:eastAsia="zh-TW"/>
          </w:rPr>
          <w:t>2</w:t>
        </w:r>
        <w:r>
          <w:fldChar w:fldCharType="end"/>
        </w:r>
      </w:p>
    </w:sdtContent>
  </w:sdt>
  <w:p w14:paraId="57670706" w14:textId="77777777" w:rsidR="00032F11" w:rsidRDefault="00032F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66730" w14:textId="77777777" w:rsidR="00B043E3" w:rsidRDefault="00B043E3" w:rsidP="00312268">
      <w:r>
        <w:separator/>
      </w:r>
    </w:p>
  </w:footnote>
  <w:footnote w:type="continuationSeparator" w:id="0">
    <w:p w14:paraId="03D2DD3E" w14:textId="77777777" w:rsidR="00B043E3" w:rsidRDefault="00B043E3" w:rsidP="00312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3BB5"/>
    <w:multiLevelType w:val="hybridMultilevel"/>
    <w:tmpl w:val="4840209C"/>
    <w:lvl w:ilvl="0" w:tplc="D6CE207C">
      <w:start w:val="1"/>
      <w:numFmt w:val="decimal"/>
      <w:lvlText w:val="%1."/>
      <w:lvlJc w:val="left"/>
      <w:pPr>
        <w:ind w:left="300" w:hanging="360"/>
      </w:pPr>
      <w:rPr>
        <w:rFonts w:hint="default"/>
      </w:rPr>
    </w:lvl>
    <w:lvl w:ilvl="1" w:tplc="A5D8E4CE">
      <w:start w:val="1"/>
      <w:numFmt w:val="decimal"/>
      <w:lvlText w:val="(%2)"/>
      <w:lvlJc w:val="left"/>
      <w:pPr>
        <w:ind w:left="780" w:hanging="360"/>
      </w:pPr>
      <w:rPr>
        <w:rFonts w:hint="default"/>
      </w:rPr>
    </w:lvl>
    <w:lvl w:ilvl="2" w:tplc="0409001B">
      <w:start w:val="1"/>
      <w:numFmt w:val="lowerRoman"/>
      <w:lvlText w:val="%3."/>
      <w:lvlJc w:val="right"/>
      <w:pPr>
        <w:ind w:left="1380" w:hanging="480"/>
      </w:pPr>
    </w:lvl>
    <w:lvl w:ilvl="3" w:tplc="0409000F">
      <w:start w:val="1"/>
      <w:numFmt w:val="decimal"/>
      <w:lvlText w:val="%4."/>
      <w:lvlJc w:val="left"/>
      <w:pPr>
        <w:ind w:left="1860" w:hanging="480"/>
      </w:pPr>
    </w:lvl>
    <w:lvl w:ilvl="4" w:tplc="747E6CD8">
      <w:start w:val="1"/>
      <w:numFmt w:val="lowerRoman"/>
      <w:lvlText w:val="(%5)"/>
      <w:lvlJc w:val="left"/>
      <w:pPr>
        <w:ind w:left="2580" w:hanging="720"/>
      </w:pPr>
      <w:rPr>
        <w:rFonts w:hint="default"/>
      </w:r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15:restartNumberingAfterBreak="0">
    <w:nsid w:val="1F454ED1"/>
    <w:multiLevelType w:val="hybridMultilevel"/>
    <w:tmpl w:val="B16AD370"/>
    <w:lvl w:ilvl="0" w:tplc="C332DA7C">
      <w:start w:val="1"/>
      <w:numFmt w:val="taiwaneseCountingThousand"/>
      <w:lvlText w:val="(%1)"/>
      <w:lvlJc w:val="left"/>
      <w:pPr>
        <w:ind w:left="964" w:hanging="465"/>
      </w:pPr>
      <w:rPr>
        <w:rFonts w:hint="default"/>
      </w:rPr>
    </w:lvl>
    <w:lvl w:ilvl="1" w:tplc="04090019" w:tentative="1">
      <w:start w:val="1"/>
      <w:numFmt w:val="ideographTraditional"/>
      <w:lvlText w:val="%2、"/>
      <w:lvlJc w:val="left"/>
      <w:pPr>
        <w:ind w:left="1459" w:hanging="480"/>
      </w:pPr>
    </w:lvl>
    <w:lvl w:ilvl="2" w:tplc="0409001B" w:tentative="1">
      <w:start w:val="1"/>
      <w:numFmt w:val="lowerRoman"/>
      <w:lvlText w:val="%3."/>
      <w:lvlJc w:val="right"/>
      <w:pPr>
        <w:ind w:left="1939" w:hanging="480"/>
      </w:pPr>
    </w:lvl>
    <w:lvl w:ilvl="3" w:tplc="0409000F" w:tentative="1">
      <w:start w:val="1"/>
      <w:numFmt w:val="decimal"/>
      <w:lvlText w:val="%4."/>
      <w:lvlJc w:val="left"/>
      <w:pPr>
        <w:ind w:left="2419" w:hanging="480"/>
      </w:pPr>
    </w:lvl>
    <w:lvl w:ilvl="4" w:tplc="04090019" w:tentative="1">
      <w:start w:val="1"/>
      <w:numFmt w:val="ideographTraditional"/>
      <w:lvlText w:val="%5、"/>
      <w:lvlJc w:val="left"/>
      <w:pPr>
        <w:ind w:left="2899" w:hanging="480"/>
      </w:pPr>
    </w:lvl>
    <w:lvl w:ilvl="5" w:tplc="0409001B" w:tentative="1">
      <w:start w:val="1"/>
      <w:numFmt w:val="lowerRoman"/>
      <w:lvlText w:val="%6."/>
      <w:lvlJc w:val="right"/>
      <w:pPr>
        <w:ind w:left="3379" w:hanging="480"/>
      </w:pPr>
    </w:lvl>
    <w:lvl w:ilvl="6" w:tplc="0409000F" w:tentative="1">
      <w:start w:val="1"/>
      <w:numFmt w:val="decimal"/>
      <w:lvlText w:val="%7."/>
      <w:lvlJc w:val="left"/>
      <w:pPr>
        <w:ind w:left="3859" w:hanging="480"/>
      </w:pPr>
    </w:lvl>
    <w:lvl w:ilvl="7" w:tplc="04090019" w:tentative="1">
      <w:start w:val="1"/>
      <w:numFmt w:val="ideographTraditional"/>
      <w:lvlText w:val="%8、"/>
      <w:lvlJc w:val="left"/>
      <w:pPr>
        <w:ind w:left="4339" w:hanging="480"/>
      </w:pPr>
    </w:lvl>
    <w:lvl w:ilvl="8" w:tplc="0409001B" w:tentative="1">
      <w:start w:val="1"/>
      <w:numFmt w:val="lowerRoman"/>
      <w:lvlText w:val="%9."/>
      <w:lvlJc w:val="right"/>
      <w:pPr>
        <w:ind w:left="4819" w:hanging="480"/>
      </w:pPr>
    </w:lvl>
  </w:abstractNum>
  <w:abstractNum w:abstractNumId="2" w15:restartNumberingAfterBreak="0">
    <w:nsid w:val="4DD94040"/>
    <w:multiLevelType w:val="hybridMultilevel"/>
    <w:tmpl w:val="7FE29764"/>
    <w:lvl w:ilvl="0" w:tplc="67524210">
      <w:start w:val="1"/>
      <w:numFmt w:val="decimal"/>
      <w:lvlText w:val="%1."/>
      <w:lvlJc w:val="left"/>
      <w:pPr>
        <w:ind w:left="786" w:hanging="360"/>
      </w:pPr>
      <w:rPr>
        <w:rFonts w:hint="default"/>
        <w:sz w:val="24"/>
        <w:szCs w:val="24"/>
      </w:rPr>
    </w:lvl>
    <w:lvl w:ilvl="1" w:tplc="04090019" w:tentative="1">
      <w:start w:val="1"/>
      <w:numFmt w:val="ideographTraditional"/>
      <w:lvlText w:val="%2、"/>
      <w:lvlJc w:val="left"/>
      <w:pPr>
        <w:ind w:left="1097" w:hanging="480"/>
      </w:pPr>
    </w:lvl>
    <w:lvl w:ilvl="2" w:tplc="0409001B" w:tentative="1">
      <w:start w:val="1"/>
      <w:numFmt w:val="lowerRoman"/>
      <w:lvlText w:val="%3."/>
      <w:lvlJc w:val="right"/>
      <w:pPr>
        <w:ind w:left="1577" w:hanging="480"/>
      </w:pPr>
    </w:lvl>
    <w:lvl w:ilvl="3" w:tplc="0409000F" w:tentative="1">
      <w:start w:val="1"/>
      <w:numFmt w:val="decimal"/>
      <w:lvlText w:val="%4."/>
      <w:lvlJc w:val="left"/>
      <w:pPr>
        <w:ind w:left="2057" w:hanging="480"/>
      </w:pPr>
    </w:lvl>
    <w:lvl w:ilvl="4" w:tplc="04090019" w:tentative="1">
      <w:start w:val="1"/>
      <w:numFmt w:val="ideographTraditional"/>
      <w:lvlText w:val="%5、"/>
      <w:lvlJc w:val="left"/>
      <w:pPr>
        <w:ind w:left="2537" w:hanging="480"/>
      </w:pPr>
    </w:lvl>
    <w:lvl w:ilvl="5" w:tplc="0409001B" w:tentative="1">
      <w:start w:val="1"/>
      <w:numFmt w:val="lowerRoman"/>
      <w:lvlText w:val="%6."/>
      <w:lvlJc w:val="right"/>
      <w:pPr>
        <w:ind w:left="3017" w:hanging="480"/>
      </w:pPr>
    </w:lvl>
    <w:lvl w:ilvl="6" w:tplc="0409000F" w:tentative="1">
      <w:start w:val="1"/>
      <w:numFmt w:val="decimal"/>
      <w:lvlText w:val="%7."/>
      <w:lvlJc w:val="left"/>
      <w:pPr>
        <w:ind w:left="3497" w:hanging="480"/>
      </w:pPr>
    </w:lvl>
    <w:lvl w:ilvl="7" w:tplc="04090019" w:tentative="1">
      <w:start w:val="1"/>
      <w:numFmt w:val="ideographTraditional"/>
      <w:lvlText w:val="%8、"/>
      <w:lvlJc w:val="left"/>
      <w:pPr>
        <w:ind w:left="3977" w:hanging="480"/>
      </w:pPr>
    </w:lvl>
    <w:lvl w:ilvl="8" w:tplc="0409001B" w:tentative="1">
      <w:start w:val="1"/>
      <w:numFmt w:val="lowerRoman"/>
      <w:lvlText w:val="%9."/>
      <w:lvlJc w:val="right"/>
      <w:pPr>
        <w:ind w:left="4457" w:hanging="480"/>
      </w:pPr>
    </w:lvl>
  </w:abstractNum>
  <w:abstractNum w:abstractNumId="3" w15:restartNumberingAfterBreak="0">
    <w:nsid w:val="4DF6278A"/>
    <w:multiLevelType w:val="hybridMultilevel"/>
    <w:tmpl w:val="43404844"/>
    <w:lvl w:ilvl="0" w:tplc="37C2A01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607B1263"/>
    <w:multiLevelType w:val="hybridMultilevel"/>
    <w:tmpl w:val="A45CD00A"/>
    <w:lvl w:ilvl="0" w:tplc="8048ED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34069328">
    <w:abstractNumId w:val="0"/>
  </w:num>
  <w:num w:numId="2" w16cid:durableId="1759055267">
    <w:abstractNumId w:val="4"/>
  </w:num>
  <w:num w:numId="3" w16cid:durableId="1843544260">
    <w:abstractNumId w:val="1"/>
  </w:num>
  <w:num w:numId="4" w16cid:durableId="1771656904">
    <w:abstractNumId w:val="2"/>
  </w:num>
  <w:num w:numId="5" w16cid:durableId="2054573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E5"/>
    <w:rsid w:val="000012DB"/>
    <w:rsid w:val="000119E5"/>
    <w:rsid w:val="00012A26"/>
    <w:rsid w:val="00014EC0"/>
    <w:rsid w:val="000205DD"/>
    <w:rsid w:val="0003159D"/>
    <w:rsid w:val="000326D8"/>
    <w:rsid w:val="00032F11"/>
    <w:rsid w:val="0005148B"/>
    <w:rsid w:val="000539C5"/>
    <w:rsid w:val="000569BD"/>
    <w:rsid w:val="000608BB"/>
    <w:rsid w:val="000735A0"/>
    <w:rsid w:val="00074316"/>
    <w:rsid w:val="000762AD"/>
    <w:rsid w:val="00085167"/>
    <w:rsid w:val="000878D4"/>
    <w:rsid w:val="00093156"/>
    <w:rsid w:val="00096BBA"/>
    <w:rsid w:val="000A1AE5"/>
    <w:rsid w:val="000A568E"/>
    <w:rsid w:val="000A5C29"/>
    <w:rsid w:val="000B61A6"/>
    <w:rsid w:val="000C5496"/>
    <w:rsid w:val="000C7942"/>
    <w:rsid w:val="000E365A"/>
    <w:rsid w:val="000F6AF8"/>
    <w:rsid w:val="0010574C"/>
    <w:rsid w:val="00111623"/>
    <w:rsid w:val="00112D74"/>
    <w:rsid w:val="00113CF7"/>
    <w:rsid w:val="0011661E"/>
    <w:rsid w:val="00117FE3"/>
    <w:rsid w:val="001337C1"/>
    <w:rsid w:val="00141DCE"/>
    <w:rsid w:val="00142940"/>
    <w:rsid w:val="0015429D"/>
    <w:rsid w:val="00154EC4"/>
    <w:rsid w:val="00175527"/>
    <w:rsid w:val="00176DE5"/>
    <w:rsid w:val="00181BF0"/>
    <w:rsid w:val="001A19C6"/>
    <w:rsid w:val="001A53A3"/>
    <w:rsid w:val="001A60B5"/>
    <w:rsid w:val="001C00B8"/>
    <w:rsid w:val="001C1715"/>
    <w:rsid w:val="001E13EA"/>
    <w:rsid w:val="001E4B95"/>
    <w:rsid w:val="001F16AC"/>
    <w:rsid w:val="001F4632"/>
    <w:rsid w:val="00200C92"/>
    <w:rsid w:val="00202874"/>
    <w:rsid w:val="00216AB5"/>
    <w:rsid w:val="00224F14"/>
    <w:rsid w:val="00231AF4"/>
    <w:rsid w:val="00242EF5"/>
    <w:rsid w:val="00243613"/>
    <w:rsid w:val="0024504B"/>
    <w:rsid w:val="00246CBF"/>
    <w:rsid w:val="002504C2"/>
    <w:rsid w:val="00252878"/>
    <w:rsid w:val="0026193B"/>
    <w:rsid w:val="002637B7"/>
    <w:rsid w:val="00293F6E"/>
    <w:rsid w:val="002A24A5"/>
    <w:rsid w:val="002B26B4"/>
    <w:rsid w:val="002B55FC"/>
    <w:rsid w:val="002B5642"/>
    <w:rsid w:val="002C0890"/>
    <w:rsid w:val="002C4929"/>
    <w:rsid w:val="002D5140"/>
    <w:rsid w:val="002E29B5"/>
    <w:rsid w:val="002F10A1"/>
    <w:rsid w:val="002F66E5"/>
    <w:rsid w:val="003018D0"/>
    <w:rsid w:val="00304583"/>
    <w:rsid w:val="003055B3"/>
    <w:rsid w:val="00312268"/>
    <w:rsid w:val="00312C7E"/>
    <w:rsid w:val="003139E1"/>
    <w:rsid w:val="00321A36"/>
    <w:rsid w:val="00327421"/>
    <w:rsid w:val="00332DD6"/>
    <w:rsid w:val="00334422"/>
    <w:rsid w:val="00340CA6"/>
    <w:rsid w:val="00343C27"/>
    <w:rsid w:val="00346E27"/>
    <w:rsid w:val="00353DC2"/>
    <w:rsid w:val="00361209"/>
    <w:rsid w:val="00361ADC"/>
    <w:rsid w:val="00370C4E"/>
    <w:rsid w:val="00382CA2"/>
    <w:rsid w:val="00394B8B"/>
    <w:rsid w:val="00396247"/>
    <w:rsid w:val="00397313"/>
    <w:rsid w:val="003A3AA6"/>
    <w:rsid w:val="003C3CF6"/>
    <w:rsid w:val="003D4246"/>
    <w:rsid w:val="003F5C2A"/>
    <w:rsid w:val="004014AC"/>
    <w:rsid w:val="00401E32"/>
    <w:rsid w:val="00402578"/>
    <w:rsid w:val="0040373A"/>
    <w:rsid w:val="00415B72"/>
    <w:rsid w:val="00420AA6"/>
    <w:rsid w:val="00426B4E"/>
    <w:rsid w:val="004274EB"/>
    <w:rsid w:val="00431159"/>
    <w:rsid w:val="0044388F"/>
    <w:rsid w:val="00450B89"/>
    <w:rsid w:val="00451382"/>
    <w:rsid w:val="00453B7C"/>
    <w:rsid w:val="004564E6"/>
    <w:rsid w:val="00460BE9"/>
    <w:rsid w:val="00464560"/>
    <w:rsid w:val="00471027"/>
    <w:rsid w:val="00471FC1"/>
    <w:rsid w:val="00476FC3"/>
    <w:rsid w:val="00477142"/>
    <w:rsid w:val="004800A9"/>
    <w:rsid w:val="004938DB"/>
    <w:rsid w:val="004A2C28"/>
    <w:rsid w:val="004B35A4"/>
    <w:rsid w:val="004B59EA"/>
    <w:rsid w:val="004C05A0"/>
    <w:rsid w:val="004C0D9F"/>
    <w:rsid w:val="004C6126"/>
    <w:rsid w:val="004D0565"/>
    <w:rsid w:val="004D08CD"/>
    <w:rsid w:val="004D3586"/>
    <w:rsid w:val="004D5D10"/>
    <w:rsid w:val="004E3D20"/>
    <w:rsid w:val="004E7CCE"/>
    <w:rsid w:val="004F298D"/>
    <w:rsid w:val="004F42B5"/>
    <w:rsid w:val="00502E2F"/>
    <w:rsid w:val="00524D2F"/>
    <w:rsid w:val="00535CC5"/>
    <w:rsid w:val="005379F7"/>
    <w:rsid w:val="00560FE2"/>
    <w:rsid w:val="0056485E"/>
    <w:rsid w:val="005672DF"/>
    <w:rsid w:val="005720B0"/>
    <w:rsid w:val="005A6E6B"/>
    <w:rsid w:val="005B0E91"/>
    <w:rsid w:val="005C1E2B"/>
    <w:rsid w:val="005C4142"/>
    <w:rsid w:val="005C41B7"/>
    <w:rsid w:val="005C5187"/>
    <w:rsid w:val="005C63B4"/>
    <w:rsid w:val="005D10D1"/>
    <w:rsid w:val="005E7E49"/>
    <w:rsid w:val="005F56CC"/>
    <w:rsid w:val="005F741F"/>
    <w:rsid w:val="005F7E45"/>
    <w:rsid w:val="00602D6F"/>
    <w:rsid w:val="00606594"/>
    <w:rsid w:val="006070B6"/>
    <w:rsid w:val="006102E3"/>
    <w:rsid w:val="00614539"/>
    <w:rsid w:val="0061469D"/>
    <w:rsid w:val="00624AC7"/>
    <w:rsid w:val="00650794"/>
    <w:rsid w:val="00654CD5"/>
    <w:rsid w:val="00662F02"/>
    <w:rsid w:val="0067672F"/>
    <w:rsid w:val="00683691"/>
    <w:rsid w:val="00685F5E"/>
    <w:rsid w:val="006877DF"/>
    <w:rsid w:val="00697AE3"/>
    <w:rsid w:val="006A4F8E"/>
    <w:rsid w:val="006A681B"/>
    <w:rsid w:val="006A72C1"/>
    <w:rsid w:val="006C2179"/>
    <w:rsid w:val="006C33D2"/>
    <w:rsid w:val="006D1E35"/>
    <w:rsid w:val="006E0F37"/>
    <w:rsid w:val="006E33F3"/>
    <w:rsid w:val="006E506F"/>
    <w:rsid w:val="00706E36"/>
    <w:rsid w:val="00707768"/>
    <w:rsid w:val="00715956"/>
    <w:rsid w:val="0071730D"/>
    <w:rsid w:val="00725720"/>
    <w:rsid w:val="00735492"/>
    <w:rsid w:val="0073553C"/>
    <w:rsid w:val="00736962"/>
    <w:rsid w:val="00737E0C"/>
    <w:rsid w:val="00737FE8"/>
    <w:rsid w:val="007444E5"/>
    <w:rsid w:val="007514EE"/>
    <w:rsid w:val="007751E1"/>
    <w:rsid w:val="007820D6"/>
    <w:rsid w:val="00782CFE"/>
    <w:rsid w:val="007831EA"/>
    <w:rsid w:val="007846D7"/>
    <w:rsid w:val="00786DBD"/>
    <w:rsid w:val="00792F8B"/>
    <w:rsid w:val="007A5936"/>
    <w:rsid w:val="007B2126"/>
    <w:rsid w:val="007B2942"/>
    <w:rsid w:val="007B39E2"/>
    <w:rsid w:val="007C6BDE"/>
    <w:rsid w:val="007D6C5B"/>
    <w:rsid w:val="007F5214"/>
    <w:rsid w:val="00805F53"/>
    <w:rsid w:val="0080644A"/>
    <w:rsid w:val="008220BA"/>
    <w:rsid w:val="008358FC"/>
    <w:rsid w:val="008363CE"/>
    <w:rsid w:val="00843F8D"/>
    <w:rsid w:val="00844881"/>
    <w:rsid w:val="00855B74"/>
    <w:rsid w:val="00862A25"/>
    <w:rsid w:val="00865B49"/>
    <w:rsid w:val="008878AA"/>
    <w:rsid w:val="008939AE"/>
    <w:rsid w:val="00897304"/>
    <w:rsid w:val="008A47C9"/>
    <w:rsid w:val="008B222F"/>
    <w:rsid w:val="008B324E"/>
    <w:rsid w:val="008E25F2"/>
    <w:rsid w:val="008E2CD2"/>
    <w:rsid w:val="008F7E23"/>
    <w:rsid w:val="009028A2"/>
    <w:rsid w:val="00912A68"/>
    <w:rsid w:val="00915F30"/>
    <w:rsid w:val="0092148A"/>
    <w:rsid w:val="009229F6"/>
    <w:rsid w:val="00926E57"/>
    <w:rsid w:val="00936CF2"/>
    <w:rsid w:val="00937E58"/>
    <w:rsid w:val="009468C7"/>
    <w:rsid w:val="0095704C"/>
    <w:rsid w:val="00962746"/>
    <w:rsid w:val="0096614F"/>
    <w:rsid w:val="00971AED"/>
    <w:rsid w:val="0097289D"/>
    <w:rsid w:val="009A5714"/>
    <w:rsid w:val="009B1F4A"/>
    <w:rsid w:val="009B4160"/>
    <w:rsid w:val="009B6C71"/>
    <w:rsid w:val="009C373F"/>
    <w:rsid w:val="009C7739"/>
    <w:rsid w:val="009D0B63"/>
    <w:rsid w:val="009D30ED"/>
    <w:rsid w:val="009D5A59"/>
    <w:rsid w:val="009D6D78"/>
    <w:rsid w:val="009E17D4"/>
    <w:rsid w:val="009F0903"/>
    <w:rsid w:val="009F141C"/>
    <w:rsid w:val="00A04095"/>
    <w:rsid w:val="00A067F4"/>
    <w:rsid w:val="00A1151C"/>
    <w:rsid w:val="00A17689"/>
    <w:rsid w:val="00A205D9"/>
    <w:rsid w:val="00A452ED"/>
    <w:rsid w:val="00A45E49"/>
    <w:rsid w:val="00A46A43"/>
    <w:rsid w:val="00A51137"/>
    <w:rsid w:val="00A60F95"/>
    <w:rsid w:val="00A62A31"/>
    <w:rsid w:val="00A66543"/>
    <w:rsid w:val="00A72DD7"/>
    <w:rsid w:val="00A7425C"/>
    <w:rsid w:val="00A742DF"/>
    <w:rsid w:val="00A77CE0"/>
    <w:rsid w:val="00A80B61"/>
    <w:rsid w:val="00A829BE"/>
    <w:rsid w:val="00A8707E"/>
    <w:rsid w:val="00A8781F"/>
    <w:rsid w:val="00A90D80"/>
    <w:rsid w:val="00AA0EE2"/>
    <w:rsid w:val="00AA2197"/>
    <w:rsid w:val="00AA3CCE"/>
    <w:rsid w:val="00AB0422"/>
    <w:rsid w:val="00AB11CD"/>
    <w:rsid w:val="00AB7A39"/>
    <w:rsid w:val="00AC78A0"/>
    <w:rsid w:val="00AD1759"/>
    <w:rsid w:val="00AD2DCE"/>
    <w:rsid w:val="00AD4863"/>
    <w:rsid w:val="00AD55C5"/>
    <w:rsid w:val="00AE3D98"/>
    <w:rsid w:val="00AF6092"/>
    <w:rsid w:val="00B043E3"/>
    <w:rsid w:val="00B047BD"/>
    <w:rsid w:val="00B1064D"/>
    <w:rsid w:val="00B1275D"/>
    <w:rsid w:val="00B14AC5"/>
    <w:rsid w:val="00B24628"/>
    <w:rsid w:val="00B25B82"/>
    <w:rsid w:val="00B3047D"/>
    <w:rsid w:val="00B31CBE"/>
    <w:rsid w:val="00B32B5F"/>
    <w:rsid w:val="00B376EA"/>
    <w:rsid w:val="00B41B75"/>
    <w:rsid w:val="00B50F21"/>
    <w:rsid w:val="00B55C2A"/>
    <w:rsid w:val="00B8048C"/>
    <w:rsid w:val="00B82789"/>
    <w:rsid w:val="00BA10C8"/>
    <w:rsid w:val="00BB2674"/>
    <w:rsid w:val="00BB4613"/>
    <w:rsid w:val="00BB7BEA"/>
    <w:rsid w:val="00BC4393"/>
    <w:rsid w:val="00BC5E9F"/>
    <w:rsid w:val="00BE4459"/>
    <w:rsid w:val="00BE646F"/>
    <w:rsid w:val="00BE7E2D"/>
    <w:rsid w:val="00BF30D9"/>
    <w:rsid w:val="00BF3D83"/>
    <w:rsid w:val="00C23DAB"/>
    <w:rsid w:val="00C25ED4"/>
    <w:rsid w:val="00C30E3A"/>
    <w:rsid w:val="00C365C8"/>
    <w:rsid w:val="00C47124"/>
    <w:rsid w:val="00C62878"/>
    <w:rsid w:val="00C63167"/>
    <w:rsid w:val="00C6529C"/>
    <w:rsid w:val="00C833A5"/>
    <w:rsid w:val="00C859A7"/>
    <w:rsid w:val="00C961A7"/>
    <w:rsid w:val="00C963F0"/>
    <w:rsid w:val="00CA17CA"/>
    <w:rsid w:val="00CB2375"/>
    <w:rsid w:val="00CB2D7C"/>
    <w:rsid w:val="00CB5DE9"/>
    <w:rsid w:val="00CC7645"/>
    <w:rsid w:val="00CD0D84"/>
    <w:rsid w:val="00CE141C"/>
    <w:rsid w:val="00CF1932"/>
    <w:rsid w:val="00CF69C5"/>
    <w:rsid w:val="00D0128B"/>
    <w:rsid w:val="00D0377A"/>
    <w:rsid w:val="00D11516"/>
    <w:rsid w:val="00D131E1"/>
    <w:rsid w:val="00D153D1"/>
    <w:rsid w:val="00D21841"/>
    <w:rsid w:val="00D370BC"/>
    <w:rsid w:val="00D37706"/>
    <w:rsid w:val="00D405F3"/>
    <w:rsid w:val="00D41413"/>
    <w:rsid w:val="00D4556C"/>
    <w:rsid w:val="00D46804"/>
    <w:rsid w:val="00D47F19"/>
    <w:rsid w:val="00D578F2"/>
    <w:rsid w:val="00D81CDB"/>
    <w:rsid w:val="00D937C2"/>
    <w:rsid w:val="00DA00DE"/>
    <w:rsid w:val="00DA36C4"/>
    <w:rsid w:val="00DA3A85"/>
    <w:rsid w:val="00DA6451"/>
    <w:rsid w:val="00DA7019"/>
    <w:rsid w:val="00DB0925"/>
    <w:rsid w:val="00DB194D"/>
    <w:rsid w:val="00DB560C"/>
    <w:rsid w:val="00DC3DF3"/>
    <w:rsid w:val="00DD1CB0"/>
    <w:rsid w:val="00DD3FA7"/>
    <w:rsid w:val="00DF0167"/>
    <w:rsid w:val="00DF762A"/>
    <w:rsid w:val="00E14E7D"/>
    <w:rsid w:val="00E2252A"/>
    <w:rsid w:val="00E2376B"/>
    <w:rsid w:val="00E30592"/>
    <w:rsid w:val="00E65AE0"/>
    <w:rsid w:val="00E70AC9"/>
    <w:rsid w:val="00E72F26"/>
    <w:rsid w:val="00E75EA1"/>
    <w:rsid w:val="00E80809"/>
    <w:rsid w:val="00E96C9D"/>
    <w:rsid w:val="00EA38AA"/>
    <w:rsid w:val="00EA743F"/>
    <w:rsid w:val="00EB0CEB"/>
    <w:rsid w:val="00EB3AF8"/>
    <w:rsid w:val="00EC0C7F"/>
    <w:rsid w:val="00ED679D"/>
    <w:rsid w:val="00EE128A"/>
    <w:rsid w:val="00EE2A9C"/>
    <w:rsid w:val="00EF18C3"/>
    <w:rsid w:val="00F21472"/>
    <w:rsid w:val="00F25EF1"/>
    <w:rsid w:val="00F31642"/>
    <w:rsid w:val="00F32651"/>
    <w:rsid w:val="00F518B7"/>
    <w:rsid w:val="00F567AD"/>
    <w:rsid w:val="00F627F4"/>
    <w:rsid w:val="00F6323E"/>
    <w:rsid w:val="00F644B7"/>
    <w:rsid w:val="00F83903"/>
    <w:rsid w:val="00F85CC7"/>
    <w:rsid w:val="00F867B7"/>
    <w:rsid w:val="00F94A11"/>
    <w:rsid w:val="00FA531D"/>
    <w:rsid w:val="00FA6195"/>
    <w:rsid w:val="00FB00D9"/>
    <w:rsid w:val="00FC12EA"/>
    <w:rsid w:val="00FC2B28"/>
    <w:rsid w:val="00FC3BDA"/>
    <w:rsid w:val="00FC71ED"/>
    <w:rsid w:val="00FD70AE"/>
    <w:rsid w:val="00FD766F"/>
    <w:rsid w:val="00FE1F9C"/>
    <w:rsid w:val="00FF0CAD"/>
    <w:rsid w:val="00FF2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1E67D"/>
  <w15:chartTrackingRefBased/>
  <w15:docId w15:val="{A56A5AF4-13EF-4B12-B38F-C679670A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2268"/>
    <w:pPr>
      <w:tabs>
        <w:tab w:val="center" w:pos="4153"/>
        <w:tab w:val="right" w:pos="8306"/>
      </w:tabs>
      <w:snapToGrid w:val="0"/>
    </w:pPr>
    <w:rPr>
      <w:sz w:val="20"/>
      <w:lang w:val="x-none" w:eastAsia="x-none"/>
    </w:rPr>
  </w:style>
  <w:style w:type="character" w:customStyle="1" w:styleId="a4">
    <w:name w:val="頁首 字元"/>
    <w:link w:val="a3"/>
    <w:rsid w:val="00312268"/>
    <w:rPr>
      <w:kern w:val="2"/>
    </w:rPr>
  </w:style>
  <w:style w:type="paragraph" w:styleId="a5">
    <w:name w:val="footer"/>
    <w:basedOn w:val="a"/>
    <w:link w:val="a6"/>
    <w:uiPriority w:val="99"/>
    <w:rsid w:val="00312268"/>
    <w:pPr>
      <w:tabs>
        <w:tab w:val="center" w:pos="4153"/>
        <w:tab w:val="right" w:pos="8306"/>
      </w:tabs>
      <w:snapToGrid w:val="0"/>
    </w:pPr>
    <w:rPr>
      <w:sz w:val="20"/>
      <w:lang w:val="x-none" w:eastAsia="x-none"/>
    </w:rPr>
  </w:style>
  <w:style w:type="character" w:customStyle="1" w:styleId="a6">
    <w:name w:val="頁尾 字元"/>
    <w:link w:val="a5"/>
    <w:uiPriority w:val="99"/>
    <w:rsid w:val="00312268"/>
    <w:rPr>
      <w:kern w:val="2"/>
    </w:rPr>
  </w:style>
  <w:style w:type="paragraph" w:styleId="a7">
    <w:name w:val="Balloon Text"/>
    <w:basedOn w:val="a"/>
    <w:link w:val="a8"/>
    <w:rsid w:val="008B222F"/>
    <w:rPr>
      <w:rFonts w:ascii="Cambria" w:hAnsi="Cambria"/>
      <w:sz w:val="18"/>
      <w:szCs w:val="18"/>
      <w:lang w:val="x-none" w:eastAsia="x-none"/>
    </w:rPr>
  </w:style>
  <w:style w:type="character" w:customStyle="1" w:styleId="a8">
    <w:name w:val="註解方塊文字 字元"/>
    <w:link w:val="a7"/>
    <w:rsid w:val="008B222F"/>
    <w:rPr>
      <w:rFonts w:ascii="Cambria" w:eastAsia="新細明體" w:hAnsi="Cambria" w:cs="Times New Roman"/>
      <w:kern w:val="2"/>
      <w:sz w:val="18"/>
      <w:szCs w:val="18"/>
    </w:rPr>
  </w:style>
  <w:style w:type="paragraph" w:styleId="a9">
    <w:name w:val="Plain Text"/>
    <w:basedOn w:val="a"/>
    <w:link w:val="aa"/>
    <w:uiPriority w:val="99"/>
    <w:rsid w:val="0044388F"/>
    <w:rPr>
      <w:rFonts w:ascii="細明體" w:eastAsia="細明體" w:hAnsi="Courier New"/>
    </w:rPr>
  </w:style>
  <w:style w:type="character" w:customStyle="1" w:styleId="aa">
    <w:name w:val="純文字 字元"/>
    <w:basedOn w:val="a0"/>
    <w:link w:val="a9"/>
    <w:uiPriority w:val="99"/>
    <w:rsid w:val="0044388F"/>
    <w:rPr>
      <w:rFonts w:ascii="細明體" w:eastAsia="細明體" w:hAnsi="Courier New"/>
      <w:kern w:val="2"/>
      <w:sz w:val="24"/>
    </w:rPr>
  </w:style>
  <w:style w:type="paragraph" w:styleId="ab">
    <w:name w:val="annotation text"/>
    <w:basedOn w:val="a"/>
    <w:link w:val="ac"/>
    <w:rsid w:val="00CE141C"/>
  </w:style>
  <w:style w:type="character" w:customStyle="1" w:styleId="ac">
    <w:name w:val="註解文字 字元"/>
    <w:basedOn w:val="a0"/>
    <w:link w:val="ab"/>
    <w:rsid w:val="00CE141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B3C4A-3BF7-44AC-9D50-96638DDD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482</Words>
  <Characters>2753</Characters>
  <Application>Microsoft Office Word</Application>
  <DocSecurity>0</DocSecurity>
  <Lines>22</Lines>
  <Paragraphs>6</Paragraphs>
  <ScaleCrop>false</ScaleCrop>
  <Manager>經濟部能源局能源資訊與統計科</Manager>
  <Company>經濟部能源局</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國內能源供需概況(097)</dc:title>
  <dc:subject>國內能源供需概況(097)</dc:subject>
  <dc:creator>能源資訊與統計科</dc:creator>
  <cp:keywords>能源統計手冊</cp:keywords>
  <dc:description>國內能源供需概況(097)</dc:description>
  <cp:lastModifiedBy>user</cp:lastModifiedBy>
  <cp:revision>8</cp:revision>
  <cp:lastPrinted>2022-05-31T08:04:00Z</cp:lastPrinted>
  <dcterms:created xsi:type="dcterms:W3CDTF">2023-06-14T06:27:00Z</dcterms:created>
  <dcterms:modified xsi:type="dcterms:W3CDTF">2024-06-17T01:50:00Z</dcterms:modified>
  <cp:category>I21</cp:category>
</cp:coreProperties>
</file>