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CC" w:rsidRPr="007F76F5" w:rsidRDefault="00833FAE">
      <w:pPr>
        <w:widowControl/>
        <w:jc w:val="center"/>
        <w:rPr>
          <w:rFonts w:ascii="Times New Roman" w:eastAsia="標楷體" w:hAnsi="Times New Roman"/>
          <w:b/>
          <w:kern w:val="0"/>
          <w:sz w:val="32"/>
          <w:szCs w:val="32"/>
        </w:rPr>
      </w:pPr>
      <w:r w:rsidRPr="007F76F5">
        <w:rPr>
          <w:rFonts w:ascii="Times New Roman" w:eastAsia="標楷體" w:hAnsi="Times New Roman"/>
          <w:b/>
          <w:kern w:val="0"/>
          <w:sz w:val="32"/>
          <w:szCs w:val="32"/>
        </w:rPr>
        <w:t>行業</w:t>
      </w:r>
      <w:r w:rsidR="00432DDF" w:rsidRPr="007F76F5">
        <w:rPr>
          <w:rFonts w:ascii="Times New Roman" w:eastAsia="標楷體" w:hAnsi="Times New Roman" w:hint="eastAsia"/>
          <w:b/>
          <w:kern w:val="0"/>
          <w:sz w:val="32"/>
          <w:szCs w:val="32"/>
        </w:rPr>
        <w:t>別</w:t>
      </w:r>
      <w:r w:rsidRPr="007F76F5">
        <w:rPr>
          <w:rFonts w:ascii="Times New Roman" w:eastAsia="標楷體" w:hAnsi="Times New Roman"/>
          <w:b/>
          <w:kern w:val="0"/>
          <w:sz w:val="32"/>
          <w:szCs w:val="32"/>
        </w:rPr>
        <w:t>對照說明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9"/>
        <w:gridCol w:w="1539"/>
        <w:gridCol w:w="1539"/>
        <w:gridCol w:w="1539"/>
        <w:gridCol w:w="4940"/>
      </w:tblGrid>
      <w:tr w:rsidR="007F76F5" w:rsidRPr="007F76F5" w:rsidTr="006F6BF3">
        <w:trPr>
          <w:tblHeader/>
        </w:trPr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szCs w:val="24"/>
              </w:rPr>
              <w:t>申報行業別</w:t>
            </w:r>
          </w:p>
        </w:tc>
        <w:tc>
          <w:tcPr>
            <w:tcW w:w="9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行政院主計總處中華民國行業標準分類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="009E550C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105</w:t>
            </w:r>
            <w:r w:rsidR="009E550C"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年</w:t>
            </w:r>
            <w:r w:rsidR="009E550C"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1</w:t>
            </w:r>
            <w:r w:rsidR="009E550C"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月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第</w:t>
            </w:r>
            <w:r w:rsidR="009E550C"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10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次修訂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</w:tr>
      <w:tr w:rsidR="007F76F5" w:rsidRPr="007F76F5" w:rsidTr="006F6BF3">
        <w:trPr>
          <w:tblHeader/>
        </w:trPr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1019CC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大類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中類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小類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名稱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能源部門</w:t>
            </w:r>
          </w:p>
        </w:tc>
        <w:tc>
          <w:tcPr>
            <w:tcW w:w="9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1019CC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7C4BB8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="00833FAE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煤礦業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B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1019CC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其他礦業及土石採取業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7C4BB8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="00833FAE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煉焦工場</w:t>
            </w:r>
            <w:r w:rsidR="00833FAE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/</w:t>
            </w:r>
            <w:r w:rsidR="00833FAE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煤製品業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1019CC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石油及煤製品製造業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7C4BB8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="00833FAE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油氣礦業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B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1019CC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石油及天然氣礦業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7C4BB8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="00833FAE"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煉油廠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1019CC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1019CC" w:rsidRPr="007F76F5" w:rsidRDefault="00833FAE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石油及煤製品製造業</w:t>
            </w:r>
          </w:p>
        </w:tc>
      </w:tr>
      <w:tr w:rsidR="007F76F5" w:rsidRPr="007F76F5" w:rsidTr="00352A3C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發電廠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D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35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351</w:t>
            </w:r>
          </w:p>
        </w:tc>
        <w:tc>
          <w:tcPr>
            <w:tcW w:w="49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電力供應業</w:t>
            </w:r>
          </w:p>
        </w:tc>
      </w:tr>
      <w:tr w:rsidR="007F76F5" w:rsidRPr="007F76F5" w:rsidTr="00352A3C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554FA5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        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發電用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352A3C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554FA5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        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其他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汽電共生廠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D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353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蒸汽供應業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氣體燃料供應業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D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352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氣體燃料供應業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工業部門</w:t>
            </w:r>
          </w:p>
        </w:tc>
        <w:tc>
          <w:tcPr>
            <w:tcW w:w="9557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礦業及土石採取業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不含煤、油及氣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B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砂、石採取及其他礦業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食品飲料及菸草業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食品及飼品製造業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飲料製造業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菸草製造業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紡織成衣及服飾業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紡織業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成衣及服飾品製造業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皮革及毛皮業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皮革、毛皮及其製品製造業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木竹及家具業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木竹製品製造業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家具製造業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紙漿、紙及紙製品業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紙漿、紙及紙製品製造業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印刷業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印刷及資料儲存媒體複製業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化學材料製造業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石油原材料、肥料、氮化合物、塑橡膠原料及</w:t>
            </w: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人造纖維製造業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lastRenderedPageBreak/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基本化學材料製造業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化學原材料製造業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石油化工原料製造業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肥料及氮化合物製造業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基本化學工業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化學原材料製造業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石油化工原料製造業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石油化工原料製造業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肥料製造業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肥料及氮化合物製造業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人造纖維製造業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185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人造纖維製造業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樹脂塑膠及橡膠製造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184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塑膠及合成橡膠原料製造業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其他化學材料製造業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199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未分類其他化學製品製造業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化學製品製造業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其他化學製品製造業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藥品及醫用化學製品製造業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橡膠製品製造業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橡膠製品製造業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塑膠製品製造業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塑膠製品製造業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非金屬礦物製品製造業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非金屬礦物製品製造業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水泥及水泥製品業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水泥及其製品製造業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其他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  <w:p w:rsidR="00C87450" w:rsidRPr="007F76F5" w:rsidRDefault="00C8745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玻璃及其製品製造業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耐火、黏土建材及其他陶瓷製品製造業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石材製品製造業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239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其他非金屬礦物製品製造業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陶瓷製品製造業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耐火、黏土建材及其他陶瓷製品製造業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玻璃及玻璃製品製造業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玻璃及其製品製造業</w:t>
            </w:r>
          </w:p>
        </w:tc>
      </w:tr>
      <w:tr w:rsidR="007F76F5" w:rsidRPr="007F76F5" w:rsidTr="00D05174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            (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其他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石材製品製造業</w:t>
            </w:r>
          </w:p>
        </w:tc>
      </w:tr>
      <w:tr w:rsidR="007F76F5" w:rsidRPr="007F76F5" w:rsidTr="00D05174">
        <w:tc>
          <w:tcPr>
            <w:tcW w:w="4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239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其他非金屬礦物製品製造業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金屬基本工業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基本金屬製造業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lastRenderedPageBreak/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鋼鐵基本工業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鋼鐵製造業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非鐵金屬基本工業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銅製造業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249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其他基本金屬製造業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鋁業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鋁製造業</w:t>
            </w:r>
          </w:p>
        </w:tc>
      </w:tr>
      <w:tr w:rsidR="007F76F5" w:rsidRPr="007F76F5" w:rsidTr="00D05174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A06FA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            (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其他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243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銅製造業</w:t>
            </w:r>
          </w:p>
        </w:tc>
      </w:tr>
      <w:tr w:rsidR="007F76F5" w:rsidRPr="007F76F5" w:rsidTr="00D05174">
        <w:tc>
          <w:tcPr>
            <w:tcW w:w="4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249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其他基本金屬製造業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金屬製品製造業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金屬製品製造業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機械設備製造業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機械設備製造業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產業用機械設備維修及安裝業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電腦通信及視聽電子產品製造業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電子零組件製造業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電腦及其週邊設備製造業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通訊傳播設備製造業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視聽電子產品製造業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資料儲存媒體製造業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電力設備及配備製造業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電子零組件製造業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電子零組件製造業</w:t>
            </w:r>
          </w:p>
        </w:tc>
      </w:tr>
      <w:tr w:rsidR="007F76F5" w:rsidRPr="007F76F5" w:rsidTr="00D05174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870724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        (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其他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)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電腦及其週邊設備製造業</w:t>
            </w:r>
          </w:p>
        </w:tc>
      </w:tr>
      <w:tr w:rsidR="007F76F5" w:rsidRPr="007F76F5" w:rsidTr="00D05174">
        <w:tc>
          <w:tcPr>
            <w:tcW w:w="4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通訊傳播設備製造業</w:t>
            </w:r>
          </w:p>
        </w:tc>
      </w:tr>
      <w:tr w:rsidR="007F76F5" w:rsidRPr="007F76F5" w:rsidTr="00D05174">
        <w:tc>
          <w:tcPr>
            <w:tcW w:w="4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視聽電子產品製造業</w:t>
            </w:r>
          </w:p>
        </w:tc>
      </w:tr>
      <w:tr w:rsidR="007F76F5" w:rsidRPr="007F76F5" w:rsidTr="00D05174">
        <w:tc>
          <w:tcPr>
            <w:tcW w:w="4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資料儲存媒體製造業</w:t>
            </w:r>
          </w:p>
        </w:tc>
      </w:tr>
      <w:tr w:rsidR="007F76F5" w:rsidRPr="007F76F5" w:rsidTr="00D05174">
        <w:tc>
          <w:tcPr>
            <w:tcW w:w="4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電力設備及配備製造業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運輸工具製造業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汽車及其零件製造業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其他運輸工具及其零件製造業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精密光學醫療器材及鐘錶製造業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275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量測、導航、控制設備及鐘錶製造業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276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輻射及電子醫學設備製造業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277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光學儀器及設備製造業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其他工業製品製造工業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C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其他製造業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用水供應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及污染整治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E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用水供應業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廢水及污水處理業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廢棄物清除處理及資源回收處理業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污染整治業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營造業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F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建築工程業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土木工程業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專門營造業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其他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運輸部門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(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作為運輸燃料之用</w:t>
            </w: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)</w:t>
            </w:r>
          </w:p>
        </w:tc>
        <w:tc>
          <w:tcPr>
            <w:tcW w:w="9557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國內航空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H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航空運輸業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公路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H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493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汽車客運業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494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汽車貨運業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499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其他陸上運輸業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鐵路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H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鐵路運輸業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492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大眾捷運系統運輸業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管線運輸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國內水運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H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水上運輸業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其他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農業部門</w:t>
            </w:r>
          </w:p>
        </w:tc>
        <w:tc>
          <w:tcPr>
            <w:tcW w:w="9557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農牧及林業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農、牧業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林業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漁業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漁業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lastRenderedPageBreak/>
              <w:t>服務業部門</w:t>
            </w:r>
          </w:p>
        </w:tc>
        <w:tc>
          <w:tcPr>
            <w:tcW w:w="9557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批發及零售業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G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45-46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批發業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47-48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零售業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運輸及倉儲業</w:t>
            </w:r>
          </w:p>
        </w:tc>
        <w:tc>
          <w:tcPr>
            <w:tcW w:w="9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bookmarkStart w:id="0" w:name="_GoBack"/>
        <w:bookmarkEnd w:id="0"/>
      </w:tr>
      <w:tr w:rsidR="007F76F5" w:rsidRPr="007F76F5" w:rsidTr="007F76F5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6F6BF3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陸上運輸業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H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49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陸上運輸業</w:t>
            </w:r>
          </w:p>
        </w:tc>
      </w:tr>
      <w:tr w:rsidR="007F76F5" w:rsidRPr="007F76F5" w:rsidTr="007F76F5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6F6BF3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水上運輸業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50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水上運輸業</w:t>
            </w:r>
          </w:p>
        </w:tc>
      </w:tr>
      <w:tr w:rsidR="007F76F5" w:rsidRPr="007F76F5" w:rsidTr="007F76F5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6F6BF3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航空運輸業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51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D05174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航空運輸業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運輸輔助業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5</w:t>
            </w: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運輸輔助業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倉儲業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倉儲業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郵政及快遞業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郵政及快遞業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住宿及餐飲業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I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住宿業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餐飲業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出版、影音製作、傳播及資通訊服務業</w:t>
            </w:r>
          </w:p>
        </w:tc>
        <w:tc>
          <w:tcPr>
            <w:tcW w:w="9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　電信業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J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61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電信業</w:t>
            </w:r>
          </w:p>
        </w:tc>
      </w:tr>
      <w:tr w:rsidR="007F76F5" w:rsidRPr="007F76F5" w:rsidTr="006F6BF3"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7511F4">
            <w:pPr>
              <w:widowControl/>
              <w:ind w:leftChars="200" w:left="480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其他出版、影音製作、傳播及資通訊服務業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58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出版業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ind w:left="252" w:hangingChars="105" w:hanging="252"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59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影片及電視節目業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ind w:left="252" w:hangingChars="105" w:hanging="252"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60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廣播、電視節目編排及傳播業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ind w:left="252" w:hangingChars="105" w:hanging="252"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62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電腦程式設計、諮詢及相關服務業</w:t>
            </w:r>
          </w:p>
        </w:tc>
      </w:tr>
      <w:tr w:rsidR="007F76F5" w:rsidRPr="007F76F5" w:rsidTr="006F6BF3"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ind w:left="252" w:hangingChars="105" w:hanging="252"/>
              <w:rPr>
                <w:rFonts w:ascii="Times New Roman" w:eastAsia="標楷體" w:hAnsi="Times New Roman"/>
                <w:b/>
                <w:kern w:val="0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63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kern w:val="0"/>
                <w:szCs w:val="24"/>
              </w:rPr>
              <w:t>資訊服務業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金融及保險業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K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64-66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金融及保險業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不動產業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L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67-68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不動產業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專業、科學及技術服務業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M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69-76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專業、科學及技術服務業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支援服務業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N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77-82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支援服務業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公共行政及國防；強制性社會安全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83-84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公共行政及國防；強制性設會安全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教育業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P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85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教育業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lastRenderedPageBreak/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醫療保健及社會工作服務業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Q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86-88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醫療保健及社會工作服務業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藝術、娛樂及休閒服務業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R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90-93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藝術、娛樂及休閒服務業</w:t>
            </w:r>
          </w:p>
        </w:tc>
      </w:tr>
      <w:tr w:rsidR="007F76F5" w:rsidRPr="007F76F5" w:rsidTr="006F6BF3"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 xml:space="preserve">　</w:t>
            </w: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其他服務業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S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94-96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kern w:val="0"/>
                <w:szCs w:val="24"/>
              </w:rPr>
              <w:t>其他服務業</w:t>
            </w:r>
          </w:p>
        </w:tc>
      </w:tr>
      <w:tr w:rsidR="00C87450" w:rsidRPr="007F76F5" w:rsidTr="006F6BF3">
        <w:tc>
          <w:tcPr>
            <w:tcW w:w="4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F76F5">
              <w:rPr>
                <w:rFonts w:ascii="Times New Roman" w:eastAsia="標楷體" w:hAnsi="Times New Roman"/>
                <w:b/>
                <w:kern w:val="0"/>
                <w:szCs w:val="24"/>
              </w:rPr>
              <w:t>住宅部門</w:t>
            </w:r>
          </w:p>
        </w:tc>
        <w:tc>
          <w:tcPr>
            <w:tcW w:w="9557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450" w:rsidRPr="007F76F5" w:rsidRDefault="00C87450" w:rsidP="00195C67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</w:tbl>
    <w:p w:rsidR="001019CC" w:rsidRPr="007F76F5" w:rsidRDefault="001019CC" w:rsidP="00FD72B2">
      <w:pPr>
        <w:widowControl/>
        <w:rPr>
          <w:rFonts w:ascii="標楷體" w:eastAsia="標楷體" w:hAnsi="標楷體"/>
          <w:sz w:val="28"/>
          <w:szCs w:val="28"/>
        </w:rPr>
      </w:pPr>
    </w:p>
    <w:sectPr w:rsidR="001019CC" w:rsidRPr="007F76F5" w:rsidSect="00155BF0">
      <w:pgSz w:w="16838" w:h="11906" w:orient="landscape"/>
      <w:pgMar w:top="1440" w:right="1418" w:bottom="1440" w:left="1418" w:header="720" w:footer="720" w:gutter="0"/>
      <w:cols w:space="720"/>
      <w:docGrid w:type="linesAndChars" w:linePitch="3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231" w:rsidRDefault="00D71231">
      <w:r>
        <w:separator/>
      </w:r>
    </w:p>
  </w:endnote>
  <w:endnote w:type="continuationSeparator" w:id="0">
    <w:p w:rsidR="00D71231" w:rsidRDefault="00D7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231" w:rsidRDefault="00D71231">
      <w:r>
        <w:rPr>
          <w:color w:val="000000"/>
        </w:rPr>
        <w:separator/>
      </w:r>
    </w:p>
  </w:footnote>
  <w:footnote w:type="continuationSeparator" w:id="0">
    <w:p w:rsidR="00D71231" w:rsidRDefault="00D71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CC"/>
    <w:rsid w:val="00015E25"/>
    <w:rsid w:val="00016293"/>
    <w:rsid w:val="00026639"/>
    <w:rsid w:val="00050B70"/>
    <w:rsid w:val="00064502"/>
    <w:rsid w:val="000736A7"/>
    <w:rsid w:val="0007377A"/>
    <w:rsid w:val="00076F85"/>
    <w:rsid w:val="000A4BA5"/>
    <w:rsid w:val="000A5A00"/>
    <w:rsid w:val="000E6F63"/>
    <w:rsid w:val="001007A5"/>
    <w:rsid w:val="001019CC"/>
    <w:rsid w:val="001160C4"/>
    <w:rsid w:val="001169ED"/>
    <w:rsid w:val="00121A77"/>
    <w:rsid w:val="00126FDC"/>
    <w:rsid w:val="001453B0"/>
    <w:rsid w:val="00152540"/>
    <w:rsid w:val="00155BF0"/>
    <w:rsid w:val="001676E2"/>
    <w:rsid w:val="001916F4"/>
    <w:rsid w:val="00195C67"/>
    <w:rsid w:val="00197141"/>
    <w:rsid w:val="001A16AA"/>
    <w:rsid w:val="001A6AB2"/>
    <w:rsid w:val="001B130C"/>
    <w:rsid w:val="001B3234"/>
    <w:rsid w:val="001C3C1B"/>
    <w:rsid w:val="001D2017"/>
    <w:rsid w:val="001D2F50"/>
    <w:rsid w:val="001D7182"/>
    <w:rsid w:val="001E1045"/>
    <w:rsid w:val="001E7F97"/>
    <w:rsid w:val="002002DC"/>
    <w:rsid w:val="0023302E"/>
    <w:rsid w:val="002471E1"/>
    <w:rsid w:val="00253088"/>
    <w:rsid w:val="0025633D"/>
    <w:rsid w:val="00273F75"/>
    <w:rsid w:val="00282EF3"/>
    <w:rsid w:val="00285E4E"/>
    <w:rsid w:val="00290FAD"/>
    <w:rsid w:val="0029718F"/>
    <w:rsid w:val="002B37B5"/>
    <w:rsid w:val="002B3B65"/>
    <w:rsid w:val="002F3EBE"/>
    <w:rsid w:val="003128A2"/>
    <w:rsid w:val="003173E3"/>
    <w:rsid w:val="00320A5A"/>
    <w:rsid w:val="0032517E"/>
    <w:rsid w:val="00363207"/>
    <w:rsid w:val="00363E5B"/>
    <w:rsid w:val="00367A82"/>
    <w:rsid w:val="00383EFF"/>
    <w:rsid w:val="003D2A32"/>
    <w:rsid w:val="003E3FAA"/>
    <w:rsid w:val="003F624F"/>
    <w:rsid w:val="00400796"/>
    <w:rsid w:val="00405AE2"/>
    <w:rsid w:val="00411678"/>
    <w:rsid w:val="00411B5E"/>
    <w:rsid w:val="00421434"/>
    <w:rsid w:val="004325E9"/>
    <w:rsid w:val="00432DDF"/>
    <w:rsid w:val="0043383C"/>
    <w:rsid w:val="004369F9"/>
    <w:rsid w:val="0043749E"/>
    <w:rsid w:val="00442452"/>
    <w:rsid w:val="00444255"/>
    <w:rsid w:val="004449E7"/>
    <w:rsid w:val="00452FB3"/>
    <w:rsid w:val="004573CC"/>
    <w:rsid w:val="004747F2"/>
    <w:rsid w:val="00482AFF"/>
    <w:rsid w:val="00482E66"/>
    <w:rsid w:val="0049609D"/>
    <w:rsid w:val="004E35CF"/>
    <w:rsid w:val="0050383F"/>
    <w:rsid w:val="00524832"/>
    <w:rsid w:val="00531385"/>
    <w:rsid w:val="0054272C"/>
    <w:rsid w:val="005463FA"/>
    <w:rsid w:val="00555305"/>
    <w:rsid w:val="005560D5"/>
    <w:rsid w:val="005562F1"/>
    <w:rsid w:val="00557EE0"/>
    <w:rsid w:val="00567278"/>
    <w:rsid w:val="00571676"/>
    <w:rsid w:val="005870B6"/>
    <w:rsid w:val="005918B9"/>
    <w:rsid w:val="005A6575"/>
    <w:rsid w:val="005A7630"/>
    <w:rsid w:val="005A7753"/>
    <w:rsid w:val="005B4AC6"/>
    <w:rsid w:val="005B5F98"/>
    <w:rsid w:val="005D19A0"/>
    <w:rsid w:val="005D2AF3"/>
    <w:rsid w:val="005D41FB"/>
    <w:rsid w:val="005D45F7"/>
    <w:rsid w:val="005E2C7A"/>
    <w:rsid w:val="005E56E3"/>
    <w:rsid w:val="005F30F1"/>
    <w:rsid w:val="00641000"/>
    <w:rsid w:val="00643CDB"/>
    <w:rsid w:val="00655544"/>
    <w:rsid w:val="0066774E"/>
    <w:rsid w:val="00673BC1"/>
    <w:rsid w:val="00684622"/>
    <w:rsid w:val="006A3D24"/>
    <w:rsid w:val="006E19A3"/>
    <w:rsid w:val="006E1B41"/>
    <w:rsid w:val="006F6BF3"/>
    <w:rsid w:val="007046DC"/>
    <w:rsid w:val="0070680E"/>
    <w:rsid w:val="00712D84"/>
    <w:rsid w:val="0073543D"/>
    <w:rsid w:val="00744921"/>
    <w:rsid w:val="007511F4"/>
    <w:rsid w:val="00753B74"/>
    <w:rsid w:val="00756EC4"/>
    <w:rsid w:val="00764218"/>
    <w:rsid w:val="0077056C"/>
    <w:rsid w:val="0077720A"/>
    <w:rsid w:val="00783986"/>
    <w:rsid w:val="007853FE"/>
    <w:rsid w:val="007854B1"/>
    <w:rsid w:val="00787878"/>
    <w:rsid w:val="00797F2B"/>
    <w:rsid w:val="007C4BB8"/>
    <w:rsid w:val="007E17AD"/>
    <w:rsid w:val="007F76F5"/>
    <w:rsid w:val="00807AF4"/>
    <w:rsid w:val="00833FAE"/>
    <w:rsid w:val="00863F35"/>
    <w:rsid w:val="00867E93"/>
    <w:rsid w:val="00870724"/>
    <w:rsid w:val="008735E5"/>
    <w:rsid w:val="0088044F"/>
    <w:rsid w:val="0088624E"/>
    <w:rsid w:val="008936A9"/>
    <w:rsid w:val="008A11EC"/>
    <w:rsid w:val="008A2304"/>
    <w:rsid w:val="008B039F"/>
    <w:rsid w:val="008B5626"/>
    <w:rsid w:val="008E228F"/>
    <w:rsid w:val="008F3056"/>
    <w:rsid w:val="00900E0B"/>
    <w:rsid w:val="00914424"/>
    <w:rsid w:val="0092764C"/>
    <w:rsid w:val="009457C0"/>
    <w:rsid w:val="0095124E"/>
    <w:rsid w:val="009554F7"/>
    <w:rsid w:val="009564B8"/>
    <w:rsid w:val="009A5D43"/>
    <w:rsid w:val="009C0696"/>
    <w:rsid w:val="009D0653"/>
    <w:rsid w:val="009D65BB"/>
    <w:rsid w:val="009E00B4"/>
    <w:rsid w:val="009E550C"/>
    <w:rsid w:val="009F3BF9"/>
    <w:rsid w:val="00A06FA0"/>
    <w:rsid w:val="00A17A80"/>
    <w:rsid w:val="00A214F3"/>
    <w:rsid w:val="00A2410A"/>
    <w:rsid w:val="00A2522D"/>
    <w:rsid w:val="00A34D54"/>
    <w:rsid w:val="00A355B3"/>
    <w:rsid w:val="00A406FE"/>
    <w:rsid w:val="00A6556A"/>
    <w:rsid w:val="00A77B59"/>
    <w:rsid w:val="00A8112A"/>
    <w:rsid w:val="00A93866"/>
    <w:rsid w:val="00AC3B0C"/>
    <w:rsid w:val="00AC56C7"/>
    <w:rsid w:val="00AD26F5"/>
    <w:rsid w:val="00B24BA6"/>
    <w:rsid w:val="00B46FCB"/>
    <w:rsid w:val="00B50FC5"/>
    <w:rsid w:val="00B532E1"/>
    <w:rsid w:val="00B61240"/>
    <w:rsid w:val="00B64161"/>
    <w:rsid w:val="00B67A1D"/>
    <w:rsid w:val="00B746AF"/>
    <w:rsid w:val="00B8769E"/>
    <w:rsid w:val="00B92654"/>
    <w:rsid w:val="00B93579"/>
    <w:rsid w:val="00B97264"/>
    <w:rsid w:val="00BC42BB"/>
    <w:rsid w:val="00BD09BF"/>
    <w:rsid w:val="00BD6E10"/>
    <w:rsid w:val="00BE4DE4"/>
    <w:rsid w:val="00BF3821"/>
    <w:rsid w:val="00C00811"/>
    <w:rsid w:val="00C2109B"/>
    <w:rsid w:val="00C27112"/>
    <w:rsid w:val="00C82605"/>
    <w:rsid w:val="00C851FD"/>
    <w:rsid w:val="00C87450"/>
    <w:rsid w:val="00C95985"/>
    <w:rsid w:val="00CA4B3C"/>
    <w:rsid w:val="00CA50A1"/>
    <w:rsid w:val="00CB0D92"/>
    <w:rsid w:val="00CB75DE"/>
    <w:rsid w:val="00CD04B6"/>
    <w:rsid w:val="00CF597E"/>
    <w:rsid w:val="00D03377"/>
    <w:rsid w:val="00D05174"/>
    <w:rsid w:val="00D14E36"/>
    <w:rsid w:val="00D158F1"/>
    <w:rsid w:val="00D22D04"/>
    <w:rsid w:val="00D5445F"/>
    <w:rsid w:val="00D54943"/>
    <w:rsid w:val="00D71231"/>
    <w:rsid w:val="00D72607"/>
    <w:rsid w:val="00D845C9"/>
    <w:rsid w:val="00D9121C"/>
    <w:rsid w:val="00D973FC"/>
    <w:rsid w:val="00DA273C"/>
    <w:rsid w:val="00DA635E"/>
    <w:rsid w:val="00DB7D87"/>
    <w:rsid w:val="00DC4A66"/>
    <w:rsid w:val="00DC5640"/>
    <w:rsid w:val="00DD5176"/>
    <w:rsid w:val="00DF4B60"/>
    <w:rsid w:val="00E158C1"/>
    <w:rsid w:val="00E2752B"/>
    <w:rsid w:val="00E55796"/>
    <w:rsid w:val="00E77089"/>
    <w:rsid w:val="00E9568F"/>
    <w:rsid w:val="00EA126E"/>
    <w:rsid w:val="00EB346A"/>
    <w:rsid w:val="00EC081B"/>
    <w:rsid w:val="00EC6ACC"/>
    <w:rsid w:val="00ED325C"/>
    <w:rsid w:val="00EE2094"/>
    <w:rsid w:val="00EE3B2A"/>
    <w:rsid w:val="00F07613"/>
    <w:rsid w:val="00F40701"/>
    <w:rsid w:val="00F44F6B"/>
    <w:rsid w:val="00F52D3F"/>
    <w:rsid w:val="00F56A65"/>
    <w:rsid w:val="00F77667"/>
    <w:rsid w:val="00FA089D"/>
    <w:rsid w:val="00FA7189"/>
    <w:rsid w:val="00FC43CB"/>
    <w:rsid w:val="00FD2F33"/>
    <w:rsid w:val="00FD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customStyle="1" w:styleId="font241">
    <w:name w:val="font241"/>
    <w:basedOn w:val="a0"/>
    <w:rPr>
      <w:rFonts w:ascii="新細明體" w:eastAsia="新細明體" w:hAnsi="新細明體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font231">
    <w:name w:val="font231"/>
    <w:basedOn w:val="a0"/>
    <w:rPr>
      <w:rFonts w:ascii="標楷體" w:eastAsia="標楷體" w:hAnsi="標楷體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font271">
    <w:name w:val="font271"/>
    <w:basedOn w:val="a0"/>
    <w:rPr>
      <w:rFonts w:ascii="新細明體" w:eastAsia="新細明體" w:hAnsi="新細明體"/>
      <w:b w:val="0"/>
      <w:bCs w:val="0"/>
      <w:i w:val="0"/>
      <w:iCs w:val="0"/>
      <w:strike w:val="0"/>
      <w:dstrike w:val="0"/>
      <w:color w:val="0070C0"/>
      <w:sz w:val="24"/>
      <w:szCs w:val="24"/>
      <w:u w:val="none"/>
    </w:rPr>
  </w:style>
  <w:style w:type="character" w:customStyle="1" w:styleId="font281">
    <w:name w:val="font281"/>
    <w:basedOn w:val="a0"/>
    <w:rPr>
      <w:rFonts w:ascii="新細明體" w:eastAsia="新細明體" w:hAnsi="新細明體"/>
      <w:b w:val="0"/>
      <w:bCs w:val="0"/>
      <w:i w:val="0"/>
      <w:iCs w:val="0"/>
      <w:strike w:val="0"/>
      <w:dstrike w:val="0"/>
      <w:color w:val="auto"/>
      <w:sz w:val="20"/>
      <w:szCs w:val="20"/>
      <w:u w:val="none"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styleId="aa">
    <w:name w:val="No Spacing"/>
    <w:pPr>
      <w:suppressAutoHyphens/>
    </w:pPr>
    <w:rPr>
      <w:kern w:val="0"/>
      <w:sz w:val="22"/>
    </w:rPr>
  </w:style>
  <w:style w:type="character" w:customStyle="1" w:styleId="ab">
    <w:name w:val="無間距 字元"/>
    <w:basedOn w:val="a0"/>
    <w:rPr>
      <w:kern w:val="0"/>
      <w:sz w:val="22"/>
    </w:rPr>
  </w:style>
  <w:style w:type="character" w:customStyle="1" w:styleId="font71">
    <w:name w:val="font71"/>
    <w:basedOn w:val="a0"/>
    <w:rPr>
      <w:rFonts w:ascii="Times New Roman" w:hAnsi="Times New Roman" w:cs="Times New Roman"/>
      <w:b/>
      <w:bCs/>
      <w:i w:val="0"/>
      <w:iCs w:val="0"/>
      <w:strike w:val="0"/>
      <w:dstrike w:val="0"/>
      <w:color w:val="FFFFFF"/>
      <w:sz w:val="32"/>
      <w:szCs w:val="32"/>
      <w:u w:val="none"/>
    </w:rPr>
  </w:style>
  <w:style w:type="character" w:customStyle="1" w:styleId="font101">
    <w:name w:val="font101"/>
    <w:basedOn w:val="a0"/>
    <w:rPr>
      <w:rFonts w:ascii="標楷體" w:eastAsia="標楷體" w:hAnsi="標楷體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paragraph" w:styleId="ac">
    <w:name w:val="Date"/>
    <w:basedOn w:val="a"/>
    <w:next w:val="a"/>
    <w:pPr>
      <w:jc w:val="right"/>
    </w:pPr>
  </w:style>
  <w:style w:type="character" w:customStyle="1" w:styleId="ad">
    <w:name w:val="日期 字元"/>
    <w:basedOn w:val="a0"/>
  </w:style>
  <w:style w:type="character" w:customStyle="1" w:styleId="font61">
    <w:name w:val="font61"/>
    <w:basedOn w:val="a0"/>
    <w:rPr>
      <w:rFonts w:ascii="標楷體" w:eastAsia="標楷體" w:hAnsi="標楷體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paragraph" w:customStyle="1" w:styleId="Standard">
    <w:name w:val="Standard"/>
    <w:pPr>
      <w:widowControl w:val="0"/>
      <w:suppressAutoHyphens/>
    </w:pPr>
    <w:rPr>
      <w:rFonts w:cs="Tahoma"/>
    </w:rPr>
  </w:style>
  <w:style w:type="table" w:styleId="ae">
    <w:name w:val="Table Grid"/>
    <w:basedOn w:val="a1"/>
    <w:uiPriority w:val="39"/>
    <w:rsid w:val="0083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EE3B2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E3B2A"/>
  </w:style>
  <w:style w:type="character" w:customStyle="1" w:styleId="af1">
    <w:name w:val="註解文字 字元"/>
    <w:basedOn w:val="a0"/>
    <w:link w:val="af0"/>
    <w:uiPriority w:val="99"/>
    <w:semiHidden/>
    <w:rsid w:val="00EE3B2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3B2A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EE3B2A"/>
    <w:rPr>
      <w:b/>
      <w:bCs/>
    </w:rPr>
  </w:style>
  <w:style w:type="paragraph" w:styleId="af4">
    <w:name w:val="Revision"/>
    <w:hidden/>
    <w:uiPriority w:val="99"/>
    <w:semiHidden/>
    <w:rsid w:val="00EE3B2A"/>
    <w:pPr>
      <w:autoSpaceDN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customStyle="1" w:styleId="font241">
    <w:name w:val="font241"/>
    <w:basedOn w:val="a0"/>
    <w:rPr>
      <w:rFonts w:ascii="新細明體" w:eastAsia="新細明體" w:hAnsi="新細明體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font231">
    <w:name w:val="font231"/>
    <w:basedOn w:val="a0"/>
    <w:rPr>
      <w:rFonts w:ascii="標楷體" w:eastAsia="標楷體" w:hAnsi="標楷體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font271">
    <w:name w:val="font271"/>
    <w:basedOn w:val="a0"/>
    <w:rPr>
      <w:rFonts w:ascii="新細明體" w:eastAsia="新細明體" w:hAnsi="新細明體"/>
      <w:b w:val="0"/>
      <w:bCs w:val="0"/>
      <w:i w:val="0"/>
      <w:iCs w:val="0"/>
      <w:strike w:val="0"/>
      <w:dstrike w:val="0"/>
      <w:color w:val="0070C0"/>
      <w:sz w:val="24"/>
      <w:szCs w:val="24"/>
      <w:u w:val="none"/>
    </w:rPr>
  </w:style>
  <w:style w:type="character" w:customStyle="1" w:styleId="font281">
    <w:name w:val="font281"/>
    <w:basedOn w:val="a0"/>
    <w:rPr>
      <w:rFonts w:ascii="新細明體" w:eastAsia="新細明體" w:hAnsi="新細明體"/>
      <w:b w:val="0"/>
      <w:bCs w:val="0"/>
      <w:i w:val="0"/>
      <w:iCs w:val="0"/>
      <w:strike w:val="0"/>
      <w:dstrike w:val="0"/>
      <w:color w:val="auto"/>
      <w:sz w:val="20"/>
      <w:szCs w:val="20"/>
      <w:u w:val="none"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rPr>
      <w:rFonts w:ascii="Cambria" w:eastAsia="新細明體" w:hAnsi="Cambria" w:cs="Times New Roman"/>
      <w:sz w:val="18"/>
      <w:szCs w:val="18"/>
    </w:rPr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styleId="aa">
    <w:name w:val="No Spacing"/>
    <w:pPr>
      <w:suppressAutoHyphens/>
    </w:pPr>
    <w:rPr>
      <w:kern w:val="0"/>
      <w:sz w:val="22"/>
    </w:rPr>
  </w:style>
  <w:style w:type="character" w:customStyle="1" w:styleId="ab">
    <w:name w:val="無間距 字元"/>
    <w:basedOn w:val="a0"/>
    <w:rPr>
      <w:kern w:val="0"/>
      <w:sz w:val="22"/>
    </w:rPr>
  </w:style>
  <w:style w:type="character" w:customStyle="1" w:styleId="font71">
    <w:name w:val="font71"/>
    <w:basedOn w:val="a0"/>
    <w:rPr>
      <w:rFonts w:ascii="Times New Roman" w:hAnsi="Times New Roman" w:cs="Times New Roman"/>
      <w:b/>
      <w:bCs/>
      <w:i w:val="0"/>
      <w:iCs w:val="0"/>
      <w:strike w:val="0"/>
      <w:dstrike w:val="0"/>
      <w:color w:val="FFFFFF"/>
      <w:sz w:val="32"/>
      <w:szCs w:val="32"/>
      <w:u w:val="none"/>
    </w:rPr>
  </w:style>
  <w:style w:type="character" w:customStyle="1" w:styleId="font101">
    <w:name w:val="font101"/>
    <w:basedOn w:val="a0"/>
    <w:rPr>
      <w:rFonts w:ascii="標楷體" w:eastAsia="標楷體" w:hAnsi="標楷體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paragraph" w:styleId="ac">
    <w:name w:val="Date"/>
    <w:basedOn w:val="a"/>
    <w:next w:val="a"/>
    <w:pPr>
      <w:jc w:val="right"/>
    </w:pPr>
  </w:style>
  <w:style w:type="character" w:customStyle="1" w:styleId="ad">
    <w:name w:val="日期 字元"/>
    <w:basedOn w:val="a0"/>
  </w:style>
  <w:style w:type="character" w:customStyle="1" w:styleId="font61">
    <w:name w:val="font61"/>
    <w:basedOn w:val="a0"/>
    <w:rPr>
      <w:rFonts w:ascii="標楷體" w:eastAsia="標楷體" w:hAnsi="標楷體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paragraph" w:customStyle="1" w:styleId="Standard">
    <w:name w:val="Standard"/>
    <w:pPr>
      <w:widowControl w:val="0"/>
      <w:suppressAutoHyphens/>
    </w:pPr>
    <w:rPr>
      <w:rFonts w:cs="Tahoma"/>
    </w:rPr>
  </w:style>
  <w:style w:type="table" w:styleId="ae">
    <w:name w:val="Table Grid"/>
    <w:basedOn w:val="a1"/>
    <w:uiPriority w:val="39"/>
    <w:rsid w:val="0083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EE3B2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EE3B2A"/>
  </w:style>
  <w:style w:type="character" w:customStyle="1" w:styleId="af1">
    <w:name w:val="註解文字 字元"/>
    <w:basedOn w:val="a0"/>
    <w:link w:val="af0"/>
    <w:uiPriority w:val="99"/>
    <w:semiHidden/>
    <w:rsid w:val="00EE3B2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3B2A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EE3B2A"/>
    <w:rPr>
      <w:b/>
      <w:bCs/>
    </w:rPr>
  </w:style>
  <w:style w:type="paragraph" w:styleId="af4">
    <w:name w:val="Revision"/>
    <w:hidden/>
    <w:uiPriority w:val="99"/>
    <w:semiHidden/>
    <w:rsid w:val="00EE3B2A"/>
    <w:pPr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2C7E8-16E7-4E68-BB77-BD9381B7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葉光哲</dc:creator>
  <cp:lastModifiedBy>油氣組委辦3</cp:lastModifiedBy>
  <cp:revision>5</cp:revision>
  <cp:lastPrinted>2019-03-21T07:48:00Z</cp:lastPrinted>
  <dcterms:created xsi:type="dcterms:W3CDTF">2018-09-17T10:17:00Z</dcterms:created>
  <dcterms:modified xsi:type="dcterms:W3CDTF">2019-03-21T07:48:00Z</dcterms:modified>
</cp:coreProperties>
</file>