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56123" w14:textId="02928360" w:rsidR="007833B2" w:rsidRPr="006A1E48" w:rsidRDefault="00A669CD" w:rsidP="00A669CD">
      <w:pPr>
        <w:widowControl/>
        <w:adjustRightInd w:val="0"/>
        <w:snapToGrid w:val="0"/>
        <w:spacing w:line="460" w:lineRule="exact"/>
        <w:ind w:left="2242" w:hangingChars="700" w:hanging="2242"/>
        <w:rPr>
          <w:rFonts w:ascii="Times New Roman" w:eastAsia="標楷體" w:hAnsi="標楷體"/>
          <w:b/>
          <w:kern w:val="0"/>
          <w:sz w:val="32"/>
          <w:szCs w:val="32"/>
          <w:highlight w:val="yellow"/>
        </w:rPr>
      </w:pPr>
      <w:r>
        <w:rPr>
          <w:rFonts w:ascii="Times New Roman" w:eastAsia="標楷體" w:hAnsi="標楷體" w:hint="eastAsia"/>
          <w:b/>
          <w:kern w:val="0"/>
          <w:sz w:val="32"/>
          <w:szCs w:val="32"/>
        </w:rPr>
        <w:t>第七條</w:t>
      </w:r>
      <w:r w:rsidR="007833B2" w:rsidRPr="006A1E48">
        <w:rPr>
          <w:rFonts w:ascii="Times New Roman" w:eastAsia="標楷體" w:hAnsi="標楷體"/>
          <w:b/>
          <w:kern w:val="0"/>
          <w:sz w:val="32"/>
          <w:szCs w:val="32"/>
        </w:rPr>
        <w:t>附表</w:t>
      </w:r>
      <w:r w:rsidR="007833B2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二</w:t>
      </w:r>
      <w:r>
        <w:rPr>
          <w:rFonts w:ascii="Times New Roman" w:eastAsia="標楷體" w:hAnsi="標楷體" w:hint="eastAsia"/>
          <w:b/>
          <w:kern w:val="0"/>
          <w:sz w:val="32"/>
          <w:szCs w:val="32"/>
        </w:rPr>
        <w:t xml:space="preserve">  </w:t>
      </w:r>
      <w:r w:rsidR="007833B2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電力</w:t>
      </w:r>
      <w:r w:rsidR="007833B2" w:rsidRPr="006A1E48">
        <w:rPr>
          <w:rFonts w:ascii="Times New Roman" w:eastAsia="標楷體" w:hAnsi="標楷體"/>
          <w:b/>
          <w:kern w:val="0"/>
          <w:sz w:val="32"/>
          <w:szCs w:val="32"/>
        </w:rPr>
        <w:t>類</w:t>
      </w:r>
      <w:r w:rsidR="007833B2" w:rsidRPr="006A1E48">
        <w:rPr>
          <w:rFonts w:ascii="Times New Roman" w:eastAsia="標楷體" w:hAnsi="標楷體" w:hint="eastAsia"/>
          <w:b/>
          <w:kern w:val="0"/>
          <w:sz w:val="32"/>
          <w:szCs w:val="32"/>
        </w:rPr>
        <w:t>或汽電共生類製程技術項目應符合之最佳可行技術</w:t>
      </w:r>
    </w:p>
    <w:p w14:paraId="022C6046" w14:textId="77777777" w:rsidR="007833B2" w:rsidRDefault="007833B2" w:rsidP="007833B2">
      <w:pPr>
        <w:widowControl/>
        <w:snapToGrid w:val="0"/>
        <w:spacing w:line="460" w:lineRule="exac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一、電力類：</w:t>
      </w:r>
    </w:p>
    <w:p w14:paraId="7B7607E9" w14:textId="77777777" w:rsidR="007833B2" w:rsidRDefault="007833B2" w:rsidP="007833B2">
      <w:pPr>
        <w:widowControl/>
        <w:snapToGrid w:val="0"/>
        <w:spacing w:after="180" w:line="460" w:lineRule="exact"/>
        <w:ind w:firstLine="560"/>
        <w:jc w:val="both"/>
      </w:pPr>
      <w:r>
        <w:rPr>
          <w:rFonts w:ascii="Times New Roman" w:eastAsia="標楷體" w:hAnsi="Times New Roman"/>
          <w:sz w:val="28"/>
          <w:szCs w:val="28"/>
        </w:rPr>
        <w:t>應符合下列歐盟「</w:t>
      </w:r>
      <w:r>
        <w:rPr>
          <w:rFonts w:ascii="Times New Roman" w:eastAsia="標楷體" w:hAnsi="Times New Roman"/>
          <w:kern w:val="0"/>
          <w:sz w:val="28"/>
          <w:szCs w:val="28"/>
        </w:rPr>
        <w:t>大型燃燒廠</w:t>
      </w:r>
      <w:r>
        <w:rPr>
          <w:rFonts w:ascii="Times New Roman" w:eastAsia="標楷體" w:hAnsi="Times New Roman"/>
          <w:sz w:val="28"/>
          <w:szCs w:val="28"/>
        </w:rPr>
        <w:t>最佳可行技術參考文件（</w:t>
      </w:r>
      <w:r>
        <w:rPr>
          <w:rFonts w:ascii="Times New Roman" w:eastAsia="標楷體" w:hAnsi="Times New Roman"/>
          <w:sz w:val="28"/>
          <w:szCs w:val="28"/>
        </w:rPr>
        <w:t xml:space="preserve">Reference Document on Best Available Techniques for </w:t>
      </w:r>
      <w:hyperlink r:id="rId6" w:history="1">
        <w:r>
          <w:rPr>
            <w:rFonts w:ascii="Times New Roman" w:eastAsia="標楷體" w:hAnsi="Times New Roman"/>
            <w:kern w:val="0"/>
            <w:sz w:val="28"/>
            <w:szCs w:val="28"/>
          </w:rPr>
          <w:t>Large Combustion Plants</w:t>
        </w:r>
      </w:hyperlink>
      <w:r>
        <w:rPr>
          <w:rFonts w:ascii="Times New Roman" w:eastAsia="標楷體" w:hAnsi="Times New Roman"/>
          <w:sz w:val="28"/>
          <w:szCs w:val="28"/>
        </w:rPr>
        <w:t>）」適用版本所列示「</w:t>
      </w:r>
      <w:r>
        <w:rPr>
          <w:rFonts w:ascii="Times New Roman" w:eastAsia="標楷體" w:hAnsi="Times New Roman"/>
          <w:kern w:val="0"/>
          <w:sz w:val="28"/>
          <w:szCs w:val="24"/>
        </w:rPr>
        <w:t>新設廠（</w:t>
      </w:r>
      <w:r>
        <w:rPr>
          <w:rFonts w:ascii="Times New Roman" w:eastAsia="標楷體" w:hAnsi="Times New Roman"/>
          <w:kern w:val="0"/>
          <w:sz w:val="28"/>
          <w:szCs w:val="24"/>
        </w:rPr>
        <w:t>New plants</w:t>
      </w:r>
      <w:r>
        <w:rPr>
          <w:rFonts w:ascii="Times New Roman" w:eastAsia="標楷體" w:hAnsi="Times New Roman"/>
          <w:kern w:val="0"/>
          <w:sz w:val="28"/>
          <w:szCs w:val="24"/>
        </w:rPr>
        <w:t>）</w:t>
      </w:r>
      <w:r>
        <w:rPr>
          <w:rFonts w:ascii="Times New Roman" w:eastAsia="標楷體" w:hAnsi="Times New Roman"/>
          <w:sz w:val="28"/>
          <w:szCs w:val="28"/>
        </w:rPr>
        <w:t>」</w:t>
      </w:r>
      <w:r>
        <w:rPr>
          <w:rFonts w:ascii="Times New Roman" w:eastAsia="標楷體" w:hAnsi="Times New Roman"/>
          <w:kern w:val="0"/>
          <w:sz w:val="28"/>
          <w:szCs w:val="24"/>
        </w:rPr>
        <w:t>或</w:t>
      </w:r>
      <w:r>
        <w:rPr>
          <w:rFonts w:ascii="Times New Roman" w:eastAsia="標楷體" w:hAnsi="Times New Roman"/>
          <w:sz w:val="28"/>
          <w:szCs w:val="28"/>
        </w:rPr>
        <w:t>「</w:t>
      </w:r>
      <w:r>
        <w:rPr>
          <w:rFonts w:ascii="Times New Roman" w:eastAsia="標楷體" w:hAnsi="Times New Roman"/>
          <w:kern w:val="0"/>
          <w:sz w:val="28"/>
          <w:szCs w:val="24"/>
        </w:rPr>
        <w:t>新設備（</w:t>
      </w:r>
      <w:r>
        <w:rPr>
          <w:rFonts w:ascii="Times New Roman" w:eastAsia="標楷體" w:hAnsi="Times New Roman"/>
          <w:kern w:val="0"/>
          <w:sz w:val="28"/>
          <w:szCs w:val="24"/>
        </w:rPr>
        <w:t>New installations</w:t>
      </w:r>
      <w:r>
        <w:rPr>
          <w:rFonts w:ascii="Times New Roman" w:eastAsia="標楷體" w:hAnsi="Times New Roman"/>
          <w:kern w:val="0"/>
          <w:sz w:val="28"/>
          <w:szCs w:val="24"/>
        </w:rPr>
        <w:t>）</w:t>
      </w:r>
      <w:r>
        <w:rPr>
          <w:rFonts w:ascii="Times New Roman" w:eastAsia="標楷體" w:hAnsi="Times New Roman"/>
          <w:sz w:val="28"/>
          <w:szCs w:val="28"/>
        </w:rPr>
        <w:t>」能源效率相關製程技術項目之內容及效率值。</w:t>
      </w:r>
    </w:p>
    <w:tbl>
      <w:tblPr>
        <w:tblW w:w="878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52"/>
        <w:gridCol w:w="2734"/>
      </w:tblGrid>
      <w:tr w:rsidR="007833B2" w14:paraId="4398900B" w14:textId="77777777" w:rsidTr="00A421EC">
        <w:trPr>
          <w:trHeight w:val="527"/>
          <w:tblHeader/>
          <w:jc w:val="center"/>
        </w:trPr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1A7579" w14:textId="77777777" w:rsidR="007833B2" w:rsidRDefault="007833B2" w:rsidP="00A421EC">
            <w:pPr>
              <w:widowControl/>
              <w:snapToGrid w:val="0"/>
              <w:jc w:val="center"/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行業別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4"/>
              </w:rPr>
              <w:t>「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最佳可行技術參考文件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4"/>
              </w:rPr>
              <w:t>」</w:t>
            </w:r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198F3A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適用版本</w:t>
            </w:r>
          </w:p>
        </w:tc>
      </w:tr>
      <w:tr w:rsidR="007833B2" w14:paraId="1C08E113" w14:textId="77777777" w:rsidTr="00A421EC">
        <w:trPr>
          <w:trHeight w:val="345"/>
          <w:jc w:val="center"/>
        </w:trPr>
        <w:tc>
          <w:tcPr>
            <w:tcW w:w="6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DAC605" w14:textId="77777777" w:rsidR="007833B2" w:rsidRDefault="007833B2" w:rsidP="00A421EC">
            <w:pPr>
              <w:widowControl/>
              <w:snapToGrid w:val="0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大型燃燒廠</w:t>
            </w:r>
          </w:p>
          <w:p w14:paraId="39EB875B" w14:textId="77777777" w:rsidR="007833B2" w:rsidRDefault="00000000" w:rsidP="00A421EC">
            <w:pPr>
              <w:widowControl/>
              <w:snapToGrid w:val="0"/>
            </w:pPr>
            <w:hyperlink r:id="rId7" w:history="1">
              <w:r w:rsidR="007833B2">
                <w:rPr>
                  <w:rFonts w:ascii="Times New Roman" w:eastAsia="標楷體" w:hAnsi="Times New Roman"/>
                  <w:color w:val="000000"/>
                  <w:kern w:val="0"/>
                  <w:sz w:val="28"/>
                  <w:szCs w:val="28"/>
                </w:rPr>
                <w:t>Large Combustion Plants</w:t>
              </w:r>
            </w:hyperlink>
          </w:p>
        </w:tc>
        <w:tc>
          <w:tcPr>
            <w:tcW w:w="2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48A39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BREF</w:t>
            </w:r>
          </w:p>
          <w:p w14:paraId="78277037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jc w:val="center"/>
            </w:pPr>
            <w:r>
              <w:rPr>
                <w:rFonts w:ascii="Times New Roman" w:hAnsi="Times New Roman"/>
                <w:color w:val="000000"/>
              </w:rPr>
              <w:t>BATC(12.2021)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  <w:vertAlign w:val="superscript"/>
              </w:rPr>
              <w:t>註</w:t>
            </w:r>
            <w:proofErr w:type="gramEnd"/>
          </w:p>
        </w:tc>
      </w:tr>
    </w:tbl>
    <w:p w14:paraId="1BAF4961" w14:textId="77777777" w:rsidR="007833B2" w:rsidRDefault="007833B2" w:rsidP="007833B2">
      <w:pPr>
        <w:widowControl/>
        <w:snapToGrid w:val="0"/>
        <w:spacing w:after="180"/>
        <w:ind w:left="424" w:hanging="422"/>
        <w:jc w:val="both"/>
      </w:pPr>
      <w:bookmarkStart w:id="0" w:name="_Hlk93495589"/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註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：</w:t>
      </w:r>
      <w:r>
        <w:rPr>
          <w:rFonts w:ascii="Times New Roman" w:eastAsia="標楷體" w:hAnsi="Times New Roman"/>
          <w:color w:val="000000"/>
          <w:kern w:val="0"/>
          <w:szCs w:val="24"/>
        </w:rPr>
        <w:t>BREF</w:t>
      </w:r>
      <w:r>
        <w:rPr>
          <w:rFonts w:ascii="Times New Roman" w:eastAsia="標楷體" w:hAnsi="Times New Roman"/>
          <w:color w:val="000000"/>
          <w:kern w:val="0"/>
          <w:szCs w:val="24"/>
        </w:rPr>
        <w:t>係指歐盟「工業排放指令</w:t>
      </w:r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（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Directive 2010/75 on industrial emissions</w:t>
      </w:r>
      <w:r>
        <w:rPr>
          <w:rFonts w:ascii="Times New Roman" w:eastAsia="標楷體" w:hAnsi="Times New Roman"/>
          <w:color w:val="000000"/>
          <w:kern w:val="0"/>
          <w:szCs w:val="24"/>
        </w:rPr>
        <w:t>；簡稱</w:t>
      </w:r>
      <w:r>
        <w:rPr>
          <w:rFonts w:ascii="Times New Roman" w:eastAsia="標楷體" w:hAnsi="Times New Roman"/>
          <w:color w:val="000000"/>
          <w:kern w:val="0"/>
          <w:szCs w:val="24"/>
        </w:rPr>
        <w:t>IED</w:t>
      </w:r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」最佳可行技術參考文件系列（</w:t>
      </w:r>
      <w:r>
        <w:rPr>
          <w:rFonts w:ascii="Times New Roman" w:eastAsia="標楷體" w:hAnsi="Times New Roman"/>
          <w:color w:val="000000"/>
          <w:kern w:val="0"/>
          <w:szCs w:val="24"/>
        </w:rPr>
        <w:t>Best Available Techniques Reference Documents</w:t>
      </w:r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r>
        <w:rPr>
          <w:rFonts w:ascii="Times New Roman" w:eastAsia="標楷體" w:hAnsi="Times New Roman"/>
          <w:color w:val="000000"/>
          <w:szCs w:val="28"/>
        </w:rPr>
        <w:t>；</w:t>
      </w:r>
      <w:r>
        <w:rPr>
          <w:rFonts w:ascii="Times New Roman" w:eastAsia="標楷體" w:hAnsi="Times New Roman"/>
          <w:color w:val="000000"/>
          <w:kern w:val="0"/>
          <w:szCs w:val="28"/>
        </w:rPr>
        <w:t>BATC</w:t>
      </w:r>
      <w:r>
        <w:rPr>
          <w:rFonts w:ascii="Times New Roman" w:eastAsia="標楷體" w:hAnsi="Times New Roman"/>
          <w:color w:val="000000"/>
          <w:kern w:val="0"/>
          <w:szCs w:val="24"/>
        </w:rPr>
        <w:t>（</w:t>
      </w:r>
      <w:r>
        <w:rPr>
          <w:rFonts w:ascii="Times New Roman" w:eastAsia="標楷體" w:hAnsi="Times New Roman"/>
          <w:color w:val="000000"/>
          <w:kern w:val="0"/>
          <w:szCs w:val="24"/>
        </w:rPr>
        <w:t>12.</w:t>
      </w:r>
      <w:r>
        <w:rPr>
          <w:rFonts w:ascii="Times New Roman" w:eastAsia="標楷體" w:hAnsi="Times New Roman"/>
          <w:color w:val="000000"/>
          <w:kern w:val="0"/>
          <w:szCs w:val="28"/>
        </w:rPr>
        <w:t>2021</w:t>
      </w:r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r>
        <w:rPr>
          <w:rFonts w:ascii="Times New Roman" w:eastAsia="標楷體" w:hAnsi="Times New Roman"/>
          <w:color w:val="000000"/>
          <w:kern w:val="0"/>
          <w:szCs w:val="28"/>
        </w:rPr>
        <w:t>係指</w:t>
      </w:r>
      <w:r>
        <w:rPr>
          <w:rFonts w:ascii="Times New Roman" w:eastAsia="標楷體" w:hAnsi="Times New Roman"/>
          <w:color w:val="000000"/>
          <w:kern w:val="0"/>
          <w:szCs w:val="28"/>
        </w:rPr>
        <w:t>2021</w:t>
      </w:r>
      <w:r>
        <w:rPr>
          <w:rFonts w:ascii="Times New Roman" w:eastAsia="標楷體" w:hAnsi="Times New Roman"/>
          <w:color w:val="000000"/>
          <w:kern w:val="0"/>
          <w:szCs w:val="28"/>
        </w:rPr>
        <w:t>年之版本</w:t>
      </w:r>
      <w:r>
        <w:rPr>
          <w:rFonts w:ascii="Times New Roman" w:eastAsia="標楷體" w:hAnsi="Times New Roman"/>
          <w:szCs w:val="28"/>
        </w:rPr>
        <w:t>。</w:t>
      </w:r>
    </w:p>
    <w:bookmarkEnd w:id="0"/>
    <w:p w14:paraId="2E9EDFE9" w14:textId="77777777" w:rsidR="007833B2" w:rsidRDefault="007833B2" w:rsidP="007833B2">
      <w:pPr>
        <w:widowControl/>
        <w:snapToGrid w:val="0"/>
        <w:spacing w:line="460" w:lineRule="exact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二、汽電共生類：</w:t>
      </w:r>
    </w:p>
    <w:p w14:paraId="2000C709" w14:textId="77777777" w:rsidR="007833B2" w:rsidRDefault="007833B2" w:rsidP="007833B2">
      <w:pPr>
        <w:widowControl/>
        <w:snapToGrid w:val="0"/>
        <w:spacing w:line="460" w:lineRule="exact"/>
        <w:ind w:left="840" w:hanging="840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Times New Roman" w:eastAsia="標楷體" w:hAnsi="Times New Roman"/>
          <w:sz w:val="28"/>
          <w:szCs w:val="28"/>
        </w:rPr>
        <w:t>（一）應符合歐盟相同行業「最佳可行技術參考文件」關於汽電共生之內容。</w:t>
      </w:r>
    </w:p>
    <w:p w14:paraId="58E0727E" w14:textId="77777777" w:rsidR="007833B2" w:rsidRDefault="007833B2" w:rsidP="007833B2">
      <w:pPr>
        <w:widowControl/>
        <w:snapToGrid w:val="0"/>
        <w:spacing w:after="180" w:line="460" w:lineRule="exact"/>
        <w:ind w:left="840" w:hanging="840"/>
        <w:jc w:val="both"/>
      </w:pPr>
      <w:r>
        <w:rPr>
          <w:rFonts w:ascii="Times New Roman" w:eastAsia="標楷體" w:hAnsi="Times New Roman"/>
          <w:sz w:val="28"/>
          <w:szCs w:val="28"/>
        </w:rPr>
        <w:t>（二）無前項者，應符合下列歐盟「大型燃燒廠最佳可行技術參考文件（</w:t>
      </w:r>
      <w:r>
        <w:rPr>
          <w:rFonts w:ascii="Times New Roman" w:eastAsia="標楷體" w:hAnsi="Times New Roman"/>
          <w:sz w:val="28"/>
          <w:szCs w:val="28"/>
        </w:rPr>
        <w:t xml:space="preserve">Reference Document on Best Available Techniques for </w:t>
      </w:r>
      <w:hyperlink r:id="rId8" w:history="1">
        <w:r>
          <w:rPr>
            <w:rFonts w:ascii="Times New Roman" w:eastAsia="標楷體" w:hAnsi="Times New Roman"/>
            <w:kern w:val="0"/>
            <w:sz w:val="28"/>
            <w:szCs w:val="28"/>
          </w:rPr>
          <w:t>Large Combustion Plants</w:t>
        </w:r>
      </w:hyperlink>
      <w:r>
        <w:rPr>
          <w:rFonts w:ascii="Times New Roman" w:eastAsia="標楷體" w:hAnsi="Times New Roman"/>
          <w:sz w:val="28"/>
          <w:szCs w:val="28"/>
        </w:rPr>
        <w:t>）」適用版本所列示「</w:t>
      </w:r>
      <w:r>
        <w:rPr>
          <w:rFonts w:ascii="Times New Roman" w:eastAsia="標楷體" w:hAnsi="Times New Roman"/>
          <w:kern w:val="0"/>
          <w:sz w:val="28"/>
          <w:szCs w:val="24"/>
        </w:rPr>
        <w:t>新設廠（</w:t>
      </w:r>
      <w:r>
        <w:rPr>
          <w:rFonts w:ascii="Times New Roman" w:eastAsia="標楷體" w:hAnsi="Times New Roman"/>
          <w:kern w:val="0"/>
          <w:sz w:val="28"/>
          <w:szCs w:val="24"/>
        </w:rPr>
        <w:t>New plants</w:t>
      </w:r>
      <w:r>
        <w:rPr>
          <w:rFonts w:ascii="Times New Roman" w:eastAsia="標楷體" w:hAnsi="Times New Roman"/>
          <w:kern w:val="0"/>
          <w:sz w:val="28"/>
          <w:szCs w:val="24"/>
        </w:rPr>
        <w:t>）</w:t>
      </w:r>
      <w:r>
        <w:rPr>
          <w:rFonts w:ascii="Times New Roman" w:eastAsia="標楷體" w:hAnsi="Times New Roman"/>
          <w:sz w:val="28"/>
          <w:szCs w:val="28"/>
        </w:rPr>
        <w:t>」</w:t>
      </w:r>
      <w:r>
        <w:rPr>
          <w:rFonts w:ascii="Times New Roman" w:eastAsia="標楷體" w:hAnsi="Times New Roman"/>
          <w:kern w:val="0"/>
          <w:sz w:val="28"/>
          <w:szCs w:val="24"/>
        </w:rPr>
        <w:t>或</w:t>
      </w:r>
      <w:r>
        <w:rPr>
          <w:rFonts w:ascii="Times New Roman" w:eastAsia="標楷體" w:hAnsi="Times New Roman"/>
          <w:sz w:val="28"/>
          <w:szCs w:val="28"/>
        </w:rPr>
        <w:t>「</w:t>
      </w:r>
      <w:r>
        <w:rPr>
          <w:rFonts w:ascii="Times New Roman" w:eastAsia="標楷體" w:hAnsi="Times New Roman"/>
          <w:kern w:val="0"/>
          <w:sz w:val="28"/>
          <w:szCs w:val="24"/>
        </w:rPr>
        <w:t>新設備（</w:t>
      </w:r>
      <w:r>
        <w:rPr>
          <w:rFonts w:ascii="Times New Roman" w:eastAsia="標楷體" w:hAnsi="Times New Roman"/>
          <w:kern w:val="0"/>
          <w:sz w:val="28"/>
          <w:szCs w:val="24"/>
        </w:rPr>
        <w:t>New installations</w:t>
      </w:r>
      <w:r>
        <w:rPr>
          <w:rFonts w:ascii="Times New Roman" w:eastAsia="標楷體" w:hAnsi="Times New Roman"/>
          <w:kern w:val="0"/>
          <w:sz w:val="28"/>
          <w:szCs w:val="24"/>
        </w:rPr>
        <w:t>）</w:t>
      </w:r>
      <w:r>
        <w:rPr>
          <w:rFonts w:ascii="Times New Roman" w:eastAsia="標楷體" w:hAnsi="Times New Roman"/>
          <w:sz w:val="28"/>
          <w:szCs w:val="28"/>
        </w:rPr>
        <w:t>」能源效率相關之製程技術項目之內容及效率值。</w:t>
      </w:r>
    </w:p>
    <w:tbl>
      <w:tblPr>
        <w:tblW w:w="874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32"/>
        <w:gridCol w:w="2713"/>
      </w:tblGrid>
      <w:tr w:rsidR="007833B2" w14:paraId="36F502B8" w14:textId="77777777" w:rsidTr="00A421EC">
        <w:trPr>
          <w:trHeight w:val="527"/>
          <w:tblHeader/>
          <w:jc w:val="center"/>
        </w:trPr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953DE4" w14:textId="77777777" w:rsidR="007833B2" w:rsidRDefault="007833B2" w:rsidP="00A421EC">
            <w:pPr>
              <w:widowControl/>
              <w:snapToGrid w:val="0"/>
              <w:spacing w:line="400" w:lineRule="exact"/>
              <w:jc w:val="center"/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行業別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4"/>
              </w:rPr>
              <w:t>「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最佳可行技術參考文件</w:t>
            </w: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4"/>
              </w:rPr>
              <w:t>」</w:t>
            </w:r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741FCE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spacing w:line="400" w:lineRule="exact"/>
              <w:jc w:val="center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適用版本</w:t>
            </w:r>
          </w:p>
        </w:tc>
      </w:tr>
      <w:tr w:rsidR="007833B2" w14:paraId="2767DB22" w14:textId="77777777" w:rsidTr="00A421EC">
        <w:trPr>
          <w:trHeight w:val="345"/>
          <w:jc w:val="center"/>
        </w:trPr>
        <w:tc>
          <w:tcPr>
            <w:tcW w:w="6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76215C" w14:textId="77777777" w:rsidR="007833B2" w:rsidRDefault="007833B2" w:rsidP="00A421EC">
            <w:pPr>
              <w:widowControl/>
              <w:snapToGrid w:val="0"/>
              <w:spacing w:line="400" w:lineRule="exact"/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</w:rPr>
              <w:t>大型燃燒廠</w:t>
            </w:r>
          </w:p>
          <w:p w14:paraId="7EEAC26D" w14:textId="77777777" w:rsidR="007833B2" w:rsidRDefault="00000000" w:rsidP="00A421EC">
            <w:pPr>
              <w:widowControl/>
              <w:snapToGrid w:val="0"/>
              <w:spacing w:line="400" w:lineRule="exact"/>
            </w:pPr>
            <w:hyperlink r:id="rId9" w:history="1">
              <w:r w:rsidR="007833B2">
                <w:rPr>
                  <w:rFonts w:ascii="Times New Roman" w:eastAsia="標楷體" w:hAnsi="Times New Roman"/>
                  <w:color w:val="000000"/>
                  <w:kern w:val="0"/>
                  <w:sz w:val="28"/>
                  <w:szCs w:val="28"/>
                </w:rPr>
                <w:t>Large Combustion Plants</w:t>
              </w:r>
            </w:hyperlink>
          </w:p>
        </w:tc>
        <w:tc>
          <w:tcPr>
            <w:tcW w:w="2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1C11E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BREF</w:t>
            </w:r>
          </w:p>
          <w:p w14:paraId="02CA5692" w14:textId="77777777" w:rsidR="007833B2" w:rsidRDefault="007833B2" w:rsidP="00A421EC">
            <w:pPr>
              <w:widowControl/>
              <w:tabs>
                <w:tab w:val="center" w:pos="585"/>
              </w:tabs>
              <w:snapToGrid w:val="0"/>
              <w:spacing w:line="400" w:lineRule="exact"/>
              <w:jc w:val="center"/>
            </w:pPr>
            <w:r>
              <w:rPr>
                <w:rFonts w:ascii="Times New Roman" w:hAnsi="Times New Roman"/>
                <w:color w:val="000000"/>
              </w:rPr>
              <w:t>BATC(12.2021)</w:t>
            </w:r>
            <w:proofErr w:type="gramStart"/>
            <w:r>
              <w:rPr>
                <w:rFonts w:ascii="Times New Roman" w:eastAsia="標楷體" w:hAnsi="Times New Roman"/>
                <w:color w:val="000000"/>
                <w:kern w:val="0"/>
                <w:sz w:val="28"/>
                <w:szCs w:val="28"/>
                <w:vertAlign w:val="superscript"/>
              </w:rPr>
              <w:t>註</w:t>
            </w:r>
            <w:proofErr w:type="gramEnd"/>
          </w:p>
        </w:tc>
      </w:tr>
    </w:tbl>
    <w:p w14:paraId="564E74C1" w14:textId="77777777" w:rsidR="007833B2" w:rsidRDefault="007833B2" w:rsidP="007833B2">
      <w:pPr>
        <w:widowControl/>
        <w:snapToGrid w:val="0"/>
        <w:spacing w:after="180"/>
        <w:ind w:left="489" w:hanging="487"/>
        <w:jc w:val="both"/>
      </w:pPr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註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：</w:t>
      </w:r>
      <w:r>
        <w:rPr>
          <w:rFonts w:ascii="Times New Roman" w:eastAsia="標楷體" w:hAnsi="Times New Roman"/>
          <w:color w:val="000000"/>
          <w:kern w:val="0"/>
          <w:szCs w:val="24"/>
        </w:rPr>
        <w:t>BREF</w:t>
      </w:r>
      <w:r>
        <w:rPr>
          <w:rFonts w:ascii="Times New Roman" w:eastAsia="標楷體" w:hAnsi="Times New Roman"/>
          <w:color w:val="000000"/>
          <w:kern w:val="0"/>
          <w:szCs w:val="24"/>
        </w:rPr>
        <w:t>係指歐盟「工業排放指令</w:t>
      </w:r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（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Directive 2010/75 on industrial emissions</w:t>
      </w:r>
      <w:r>
        <w:rPr>
          <w:rFonts w:ascii="Times New Roman" w:eastAsia="標楷體" w:hAnsi="Times New Roman"/>
          <w:color w:val="000000"/>
          <w:kern w:val="0"/>
          <w:szCs w:val="24"/>
        </w:rPr>
        <w:t>；簡稱</w:t>
      </w:r>
      <w:r>
        <w:rPr>
          <w:rFonts w:ascii="Times New Roman" w:eastAsia="標楷體" w:hAnsi="Times New Roman"/>
          <w:color w:val="000000"/>
          <w:kern w:val="0"/>
          <w:szCs w:val="24"/>
        </w:rPr>
        <w:t>IED</w:t>
      </w:r>
      <w:proofErr w:type="gramStart"/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proofErr w:type="gramEnd"/>
      <w:r>
        <w:rPr>
          <w:rFonts w:ascii="Times New Roman" w:eastAsia="標楷體" w:hAnsi="Times New Roman"/>
          <w:color w:val="000000"/>
          <w:kern w:val="0"/>
          <w:szCs w:val="24"/>
        </w:rPr>
        <w:t>」最佳可行技術參考文件系列（</w:t>
      </w:r>
      <w:r>
        <w:rPr>
          <w:rFonts w:ascii="Times New Roman" w:eastAsia="標楷體" w:hAnsi="Times New Roman"/>
          <w:color w:val="000000"/>
          <w:kern w:val="0"/>
          <w:szCs w:val="24"/>
        </w:rPr>
        <w:t>Best Available Techniques Reference Documents</w:t>
      </w:r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r>
        <w:rPr>
          <w:rFonts w:ascii="Times New Roman" w:eastAsia="標楷體" w:hAnsi="Times New Roman"/>
          <w:color w:val="000000"/>
          <w:szCs w:val="28"/>
        </w:rPr>
        <w:t>；</w:t>
      </w:r>
      <w:r>
        <w:rPr>
          <w:rFonts w:ascii="Times New Roman" w:eastAsia="標楷體" w:hAnsi="Times New Roman"/>
          <w:color w:val="000000"/>
          <w:kern w:val="0"/>
          <w:szCs w:val="28"/>
        </w:rPr>
        <w:t>BATC</w:t>
      </w:r>
      <w:r>
        <w:rPr>
          <w:rFonts w:ascii="Times New Roman" w:eastAsia="標楷體" w:hAnsi="Times New Roman"/>
          <w:color w:val="000000"/>
          <w:kern w:val="0"/>
          <w:szCs w:val="24"/>
        </w:rPr>
        <w:t>（</w:t>
      </w:r>
      <w:r>
        <w:rPr>
          <w:rFonts w:ascii="Times New Roman" w:eastAsia="標楷體" w:hAnsi="Times New Roman"/>
          <w:color w:val="000000"/>
          <w:kern w:val="0"/>
          <w:szCs w:val="24"/>
        </w:rPr>
        <w:t>12.</w:t>
      </w:r>
      <w:r>
        <w:rPr>
          <w:rFonts w:ascii="Times New Roman" w:eastAsia="標楷體" w:hAnsi="Times New Roman"/>
          <w:color w:val="000000"/>
          <w:kern w:val="0"/>
          <w:szCs w:val="28"/>
        </w:rPr>
        <w:t>2021</w:t>
      </w:r>
      <w:r>
        <w:rPr>
          <w:rFonts w:ascii="Times New Roman" w:eastAsia="標楷體" w:hAnsi="Times New Roman"/>
          <w:color w:val="000000"/>
          <w:kern w:val="0"/>
          <w:szCs w:val="24"/>
        </w:rPr>
        <w:t>）</w:t>
      </w:r>
      <w:r>
        <w:rPr>
          <w:rFonts w:ascii="Times New Roman" w:eastAsia="標楷體" w:hAnsi="Times New Roman"/>
          <w:color w:val="000000"/>
          <w:kern w:val="0"/>
          <w:szCs w:val="28"/>
        </w:rPr>
        <w:t>係指</w:t>
      </w:r>
      <w:r>
        <w:rPr>
          <w:rFonts w:ascii="Times New Roman" w:eastAsia="標楷體" w:hAnsi="Times New Roman"/>
          <w:color w:val="000000"/>
          <w:kern w:val="0"/>
          <w:szCs w:val="28"/>
        </w:rPr>
        <w:t>2021</w:t>
      </w:r>
      <w:r>
        <w:rPr>
          <w:rFonts w:ascii="Times New Roman" w:eastAsia="標楷體" w:hAnsi="Times New Roman"/>
          <w:color w:val="000000"/>
          <w:kern w:val="0"/>
          <w:szCs w:val="28"/>
        </w:rPr>
        <w:t>年之版本</w:t>
      </w:r>
      <w:r>
        <w:rPr>
          <w:rFonts w:ascii="Times New Roman" w:eastAsia="標楷體" w:hAnsi="Times New Roman"/>
          <w:color w:val="000000"/>
          <w:szCs w:val="28"/>
        </w:rPr>
        <w:t>。</w:t>
      </w:r>
    </w:p>
    <w:p w14:paraId="1AE1F2F2" w14:textId="77777777" w:rsidR="007833B2" w:rsidRDefault="007833B2" w:rsidP="007833B2">
      <w:pPr>
        <w:widowControl/>
        <w:snapToGrid w:val="0"/>
        <w:spacing w:line="460" w:lineRule="exact"/>
        <w:ind w:left="840" w:hanging="840"/>
        <w:jc w:val="both"/>
      </w:pPr>
      <w:r>
        <w:rPr>
          <w:rFonts w:ascii="Times New Roman" w:eastAsia="標楷體" w:hAnsi="Times New Roman"/>
          <w:color w:val="000000"/>
          <w:sz w:val="28"/>
          <w:szCs w:val="28"/>
        </w:rPr>
        <w:t>（三）前項參考文件，表</w:t>
      </w:r>
      <w:r>
        <w:rPr>
          <w:rFonts w:ascii="Times New Roman" w:eastAsia="標楷體" w:hAnsi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/>
          <w:color w:val="000000"/>
          <w:sz w:val="28"/>
          <w:szCs w:val="28"/>
        </w:rPr>
        <w:t>所載說明（</w:t>
      </w:r>
      <w:r>
        <w:rPr>
          <w:rFonts w:ascii="Times New Roman" w:eastAsia="標楷體" w:hAnsi="Times New Roman"/>
          <w:color w:val="000000"/>
          <w:sz w:val="28"/>
          <w:szCs w:val="28"/>
        </w:rPr>
        <w:t>2</w:t>
      </w:r>
      <w:r>
        <w:rPr>
          <w:rFonts w:ascii="Times New Roman" w:eastAsia="標楷體" w:hAnsi="Times New Roman"/>
          <w:color w:val="000000"/>
          <w:sz w:val="28"/>
          <w:szCs w:val="28"/>
        </w:rPr>
        <w:t>）修正為：「因臺灣本土條件、運轉模式設計差異等因素之影響，能源效率除（</w:t>
      </w: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ascii="Times New Roman" w:eastAsia="標楷體" w:hAnsi="Times New Roman"/>
          <w:color w:val="000000"/>
          <w:sz w:val="28"/>
          <w:szCs w:val="28"/>
        </w:rPr>
        <w:t>）</w:t>
      </w:r>
      <w:r>
        <w:rPr>
          <w:rFonts w:ascii="Times New Roman" w:eastAsia="標楷體" w:hAnsi="Times New Roman"/>
          <w:sz w:val="28"/>
          <w:szCs w:val="28"/>
        </w:rPr>
        <w:t>外，下限值可酌予再降低。」；說明（</w:t>
      </w:r>
      <w:r>
        <w:rPr>
          <w:rFonts w:ascii="Times New Roman" w:eastAsia="標楷體" w:hAnsi="Times New Roman"/>
          <w:sz w:val="28"/>
          <w:szCs w:val="28"/>
        </w:rPr>
        <w:t>3</w:t>
      </w:r>
      <w:r>
        <w:rPr>
          <w:rFonts w:ascii="Times New Roman" w:eastAsia="標楷體" w:hAnsi="Times New Roman"/>
          <w:sz w:val="28"/>
          <w:szCs w:val="28"/>
        </w:rPr>
        <w:t>）不予適用。</w:t>
      </w:r>
    </w:p>
    <w:p w14:paraId="27E6F431" w14:textId="77777777" w:rsidR="007200C0" w:rsidRDefault="007200C0"/>
    <w:sectPr w:rsidR="007200C0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371B1" w14:textId="77777777" w:rsidR="007E58DA" w:rsidRDefault="007E58DA" w:rsidP="007833B2">
      <w:r>
        <w:separator/>
      </w:r>
    </w:p>
  </w:endnote>
  <w:endnote w:type="continuationSeparator" w:id="0">
    <w:p w14:paraId="38486C34" w14:textId="77777777" w:rsidR="007E58DA" w:rsidRDefault="007E58DA" w:rsidP="00783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5994E" w14:textId="08FE4DC3" w:rsidR="007833B2" w:rsidRDefault="007833B2" w:rsidP="007833B2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zh-TW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9A234" w14:textId="77777777" w:rsidR="007E58DA" w:rsidRDefault="007E58DA" w:rsidP="007833B2">
      <w:r>
        <w:separator/>
      </w:r>
    </w:p>
  </w:footnote>
  <w:footnote w:type="continuationSeparator" w:id="0">
    <w:p w14:paraId="7D56786E" w14:textId="77777777" w:rsidR="007E58DA" w:rsidRDefault="007E58DA" w:rsidP="007833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3B2"/>
    <w:rsid w:val="007200C0"/>
    <w:rsid w:val="007833B2"/>
    <w:rsid w:val="007E58DA"/>
    <w:rsid w:val="00A669CD"/>
    <w:rsid w:val="00E1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D98D2D"/>
  <w15:chartTrackingRefBased/>
  <w15:docId w15:val="{669D46F3-94B8-4DAE-A912-D9DEAEF13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3B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33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833B2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833B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833B2"/>
    <w:rPr>
      <w:rFonts w:ascii="Calibri" w:eastAsia="新細明體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ippcb.jrc.ec.europa.eu/reference/lcp.htm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ippcb.jrc.ec.europa.eu/reference/lcp.htm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ippcb.jrc.ec.europa.eu/reference/lcp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eippcb.jrc.ec.europa.eu/reference/lcp.html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梁雅涵</dc:creator>
  <cp:keywords/>
  <dc:description/>
  <cp:lastModifiedBy>梁雅涵</cp:lastModifiedBy>
  <cp:revision>2</cp:revision>
  <dcterms:created xsi:type="dcterms:W3CDTF">2023-04-19T07:06:00Z</dcterms:created>
  <dcterms:modified xsi:type="dcterms:W3CDTF">2023-04-20T01:32:00Z</dcterms:modified>
</cp:coreProperties>
</file>