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00" w:rsidRDefault="004D7600" w:rsidP="004D7600">
      <w:pPr>
        <w:pStyle w:val="a7"/>
        <w:ind w:left="0" w:right="21" w:firstLine="0"/>
        <w:jc w:val="center"/>
        <w:rPr>
          <w:rFonts w:hint="eastAsia"/>
          <w:b/>
          <w:sz w:val="36"/>
        </w:rPr>
      </w:pPr>
      <w:bookmarkStart w:id="0" w:name="_GoBack"/>
      <w:bookmarkEnd w:id="0"/>
      <w:r>
        <w:rPr>
          <w:rFonts w:hint="eastAsia"/>
          <w:b/>
          <w:sz w:val="36"/>
        </w:rPr>
        <w:t>經濟部能源局</w:t>
      </w:r>
      <w:r>
        <w:rPr>
          <w:rFonts w:hint="eastAsia"/>
          <w:b/>
          <w:sz w:val="36"/>
        </w:rPr>
        <w:t>10</w:t>
      </w:r>
      <w:r w:rsidR="00CB74E1">
        <w:rPr>
          <w:rFonts w:hint="eastAsia"/>
          <w:b/>
          <w:sz w:val="36"/>
        </w:rPr>
        <w:t>8</w:t>
      </w:r>
      <w:r>
        <w:rPr>
          <w:rFonts w:hint="eastAsia"/>
          <w:b/>
          <w:sz w:val="36"/>
        </w:rPr>
        <w:t>年度施政計畫</w:t>
      </w:r>
    </w:p>
    <w:p w:rsidR="004D7600" w:rsidRDefault="004D7600" w:rsidP="004D7600">
      <w:pPr>
        <w:pStyle w:val="a7"/>
        <w:ind w:left="0" w:right="21" w:firstLine="0"/>
        <w:jc w:val="center"/>
        <w:rPr>
          <w:b/>
          <w:sz w:val="36"/>
        </w:rPr>
      </w:pPr>
    </w:p>
    <w:p w:rsidR="004D7600" w:rsidRDefault="004D7600" w:rsidP="004D7600">
      <w:pPr>
        <w:pStyle w:val="a7"/>
        <w:snapToGrid w:val="0"/>
        <w:spacing w:line="360" w:lineRule="auto"/>
        <w:ind w:left="119" w:right="23" w:firstLine="0"/>
        <w:rPr>
          <w:rFonts w:hint="eastAsia"/>
          <w:b/>
          <w:color w:val="FF0000"/>
          <w:kern w:val="0"/>
          <w:sz w:val="32"/>
          <w:u w:val="single"/>
        </w:rPr>
      </w:pPr>
      <w:r>
        <w:rPr>
          <w:rFonts w:hint="eastAsia"/>
          <w:b/>
          <w:color w:val="000000"/>
          <w:sz w:val="32"/>
        </w:rPr>
        <w:t>一、</w:t>
      </w:r>
      <w:r>
        <w:rPr>
          <w:rFonts w:hint="eastAsia"/>
          <w:b/>
          <w:sz w:val="32"/>
        </w:rPr>
        <w:t>前言：</w:t>
      </w:r>
    </w:p>
    <w:p w:rsidR="004D7600" w:rsidRPr="00344FFA" w:rsidRDefault="004D7600" w:rsidP="004D7600">
      <w:pPr>
        <w:pStyle w:val="Web"/>
        <w:spacing w:before="0" w:beforeAutospacing="0" w:after="0" w:afterAutospacing="0" w:line="400" w:lineRule="exact"/>
        <w:ind w:firstLineChars="200" w:firstLine="640"/>
        <w:rPr>
          <w:rFonts w:ascii="標楷體" w:eastAsia="標楷體" w:hAnsi="標楷體" w:hint="eastAsia"/>
          <w:sz w:val="32"/>
          <w:szCs w:val="32"/>
        </w:rPr>
      </w:pPr>
      <w:r w:rsidRPr="00344FFA">
        <w:rPr>
          <w:rFonts w:ascii="標楷體" w:eastAsia="標楷體" w:hAnsi="標楷體" w:hint="eastAsia"/>
          <w:sz w:val="32"/>
          <w:szCs w:val="32"/>
        </w:rPr>
        <w:t>本</w:t>
      </w:r>
      <w:r>
        <w:rPr>
          <w:rFonts w:ascii="標楷體" w:eastAsia="標楷體" w:hAnsi="標楷體" w:hint="eastAsia"/>
          <w:sz w:val="32"/>
          <w:szCs w:val="32"/>
        </w:rPr>
        <w:t>局</w:t>
      </w:r>
      <w:r w:rsidRPr="00344FFA">
        <w:rPr>
          <w:rFonts w:ascii="標楷體" w:eastAsia="標楷體" w:hAnsi="標楷體" w:hint="eastAsia"/>
          <w:sz w:val="32"/>
          <w:szCs w:val="32"/>
        </w:rPr>
        <w:t>掌理</w:t>
      </w:r>
      <w:r>
        <w:rPr>
          <w:rFonts w:ascii="標楷體" w:eastAsia="標楷體" w:hAnsi="標楷體" w:hint="eastAsia"/>
          <w:sz w:val="32"/>
          <w:szCs w:val="32"/>
        </w:rPr>
        <w:t>全國能源政策及相關法規擬訂事項</w:t>
      </w:r>
      <w:r w:rsidRPr="00344FFA">
        <w:rPr>
          <w:rFonts w:ascii="標楷體" w:eastAsia="標楷體" w:hAnsi="標楷體" w:hint="eastAsia"/>
          <w:sz w:val="32"/>
          <w:szCs w:val="32"/>
        </w:rPr>
        <w:t>，配合</w:t>
      </w:r>
      <w:r>
        <w:rPr>
          <w:rFonts w:ascii="標楷體" w:eastAsia="標楷體" w:hAnsi="標楷體" w:hint="eastAsia"/>
          <w:sz w:val="32"/>
          <w:szCs w:val="32"/>
        </w:rPr>
        <w:t>國家未來發展，以及因應全球能源發展情勢日趨嚴峻與致力溫室氣體減量趨勢，</w:t>
      </w:r>
      <w:r w:rsidR="00D51FC6" w:rsidRPr="00D51FC6">
        <w:rPr>
          <w:rFonts w:ascii="標楷體" w:eastAsia="標楷體" w:hAnsi="標楷體"/>
          <w:sz w:val="32"/>
          <w:szCs w:val="32"/>
        </w:rPr>
        <w:t>推動能源轉型</w:t>
      </w:r>
      <w:r w:rsidR="00D51FC6" w:rsidRPr="00D51FC6">
        <w:rPr>
          <w:rFonts w:ascii="標楷體" w:eastAsia="標楷體" w:hAnsi="標楷體" w:hint="eastAsia"/>
          <w:sz w:val="32"/>
          <w:szCs w:val="32"/>
        </w:rPr>
        <w:t>，</w:t>
      </w:r>
      <w:r w:rsidR="00D51FC6" w:rsidRPr="00D51FC6">
        <w:rPr>
          <w:rFonts w:ascii="標楷體" w:eastAsia="標楷體" w:hAnsi="標楷體"/>
          <w:sz w:val="32"/>
          <w:szCs w:val="32"/>
        </w:rPr>
        <w:t>全力發展新能源及再生能源產業，落實非核家園，穩定電力供應、推動節能極大化、提升能源使用效率並落實能源先期管理</w:t>
      </w:r>
      <w:r w:rsidRPr="00344FFA">
        <w:rPr>
          <w:rFonts w:ascii="標楷體" w:eastAsia="標楷體" w:hAnsi="標楷體" w:hint="eastAsia"/>
          <w:sz w:val="32"/>
          <w:szCs w:val="32"/>
        </w:rPr>
        <w:t>。</w:t>
      </w:r>
      <w:r>
        <w:rPr>
          <w:rFonts w:ascii="標楷體" w:eastAsia="標楷體" w:hAnsi="標楷體" w:hint="eastAsia"/>
          <w:sz w:val="32"/>
          <w:szCs w:val="32"/>
        </w:rPr>
        <w:t>10</w:t>
      </w:r>
      <w:r w:rsidR="00CB74E1">
        <w:rPr>
          <w:rFonts w:ascii="標楷體" w:eastAsia="標楷體" w:hAnsi="標楷體" w:hint="eastAsia"/>
          <w:sz w:val="32"/>
          <w:szCs w:val="32"/>
        </w:rPr>
        <w:t>8</w:t>
      </w:r>
      <w:r w:rsidRPr="00344FFA">
        <w:rPr>
          <w:rFonts w:ascii="標楷體" w:eastAsia="標楷體" w:hAnsi="標楷體" w:hint="eastAsia"/>
          <w:sz w:val="32"/>
          <w:szCs w:val="32"/>
        </w:rPr>
        <w:t>年度</w:t>
      </w:r>
      <w:r>
        <w:rPr>
          <w:rFonts w:ascii="標楷體" w:eastAsia="標楷體" w:hAnsi="標楷體" w:hint="eastAsia"/>
          <w:sz w:val="32"/>
          <w:szCs w:val="32"/>
        </w:rPr>
        <w:t>賡續</w:t>
      </w:r>
      <w:r w:rsidRPr="00344FFA">
        <w:rPr>
          <w:rFonts w:ascii="標楷體" w:eastAsia="標楷體" w:hAnsi="標楷體" w:hint="eastAsia"/>
          <w:sz w:val="32"/>
          <w:szCs w:val="32"/>
        </w:rPr>
        <w:t>「</w:t>
      </w:r>
      <w:r w:rsidRPr="00AF0DFF">
        <w:rPr>
          <w:rFonts w:ascii="標楷體" w:eastAsia="標楷體" w:hAnsi="標楷體" w:hint="eastAsia"/>
          <w:sz w:val="32"/>
          <w:szCs w:val="32"/>
        </w:rPr>
        <w:t>能源供應穩定安全、社會經</w:t>
      </w:r>
      <w:r w:rsidRPr="00D51FC6">
        <w:rPr>
          <w:rFonts w:ascii="標楷體" w:eastAsia="標楷體" w:hAnsi="標楷體" w:hint="eastAsia"/>
          <w:sz w:val="32"/>
          <w:szCs w:val="32"/>
        </w:rPr>
        <w:t>濟發展、環境保護三贏</w:t>
      </w:r>
      <w:r>
        <w:rPr>
          <w:rFonts w:ascii="標楷體" w:eastAsia="標楷體" w:hAnsi="標楷體" w:hint="eastAsia"/>
          <w:sz w:val="32"/>
          <w:szCs w:val="32"/>
        </w:rPr>
        <w:t>」</w:t>
      </w:r>
      <w:r w:rsidRPr="00344FFA">
        <w:rPr>
          <w:rFonts w:ascii="標楷體" w:eastAsia="標楷體" w:hAnsi="標楷體" w:hint="eastAsia"/>
          <w:sz w:val="32"/>
          <w:szCs w:val="32"/>
        </w:rPr>
        <w:t>整體發展願景，推動各項</w:t>
      </w:r>
      <w:r>
        <w:rPr>
          <w:rFonts w:ascii="標楷體" w:eastAsia="標楷體" w:hAnsi="標楷體" w:hint="eastAsia"/>
          <w:sz w:val="32"/>
          <w:szCs w:val="32"/>
        </w:rPr>
        <w:t>能源政策措施與</w:t>
      </w:r>
      <w:r w:rsidRPr="00344FFA">
        <w:rPr>
          <w:rFonts w:ascii="標楷體" w:eastAsia="標楷體" w:hAnsi="標楷體" w:hint="eastAsia"/>
          <w:sz w:val="32"/>
          <w:szCs w:val="32"/>
        </w:rPr>
        <w:t xml:space="preserve">工作。 </w:t>
      </w:r>
    </w:p>
    <w:p w:rsidR="004D7600" w:rsidRDefault="004D7600" w:rsidP="004D7600">
      <w:pPr>
        <w:pStyle w:val="Web"/>
        <w:spacing w:before="0" w:beforeAutospacing="0" w:after="0" w:afterAutospacing="0" w:line="400" w:lineRule="exact"/>
        <w:rPr>
          <w:rFonts w:ascii="標楷體" w:eastAsia="標楷體" w:hAnsi="標楷體" w:hint="eastAsia"/>
          <w:sz w:val="32"/>
          <w:szCs w:val="32"/>
        </w:rPr>
      </w:pPr>
      <w:r>
        <w:rPr>
          <w:rFonts w:ascii="標楷體" w:eastAsia="標楷體" w:hAnsi="標楷體" w:hint="eastAsia"/>
          <w:sz w:val="32"/>
          <w:szCs w:val="32"/>
        </w:rPr>
        <w:t xml:space="preserve">    </w:t>
      </w:r>
      <w:r w:rsidRPr="00344FFA">
        <w:rPr>
          <w:rFonts w:ascii="標楷體" w:eastAsia="標楷體" w:hAnsi="標楷體" w:hint="eastAsia"/>
          <w:sz w:val="32"/>
          <w:szCs w:val="32"/>
        </w:rPr>
        <w:t>本</w:t>
      </w:r>
      <w:r>
        <w:rPr>
          <w:rFonts w:ascii="標楷體" w:eastAsia="標楷體" w:hAnsi="標楷體" w:hint="eastAsia"/>
          <w:sz w:val="32"/>
          <w:szCs w:val="32"/>
        </w:rPr>
        <w:t>局</w:t>
      </w:r>
      <w:r w:rsidRPr="00344FFA">
        <w:rPr>
          <w:rFonts w:ascii="標楷體" w:eastAsia="標楷體" w:hAnsi="標楷體" w:hint="eastAsia"/>
          <w:sz w:val="32"/>
          <w:szCs w:val="32"/>
        </w:rPr>
        <w:t>依據行政院</w:t>
      </w:r>
      <w:r>
        <w:rPr>
          <w:rFonts w:ascii="標楷體" w:eastAsia="標楷體" w:hAnsi="標楷體" w:hint="eastAsia"/>
          <w:sz w:val="32"/>
          <w:szCs w:val="32"/>
        </w:rPr>
        <w:t>10</w:t>
      </w:r>
      <w:r w:rsidR="00CB74E1">
        <w:rPr>
          <w:rFonts w:ascii="標楷體" w:eastAsia="標楷體" w:hAnsi="標楷體" w:hint="eastAsia"/>
          <w:sz w:val="32"/>
          <w:szCs w:val="32"/>
        </w:rPr>
        <w:t>8</w:t>
      </w:r>
      <w:r w:rsidRPr="00344FFA">
        <w:rPr>
          <w:rFonts w:ascii="標楷體" w:eastAsia="標楷體" w:hAnsi="標楷體" w:hint="eastAsia"/>
          <w:sz w:val="32"/>
          <w:szCs w:val="32"/>
        </w:rPr>
        <w:t>年度施政方針，配合中程施政計畫及預算額度，並針對當前社會狀況及本部未來發展需要，編定</w:t>
      </w:r>
      <w:r>
        <w:rPr>
          <w:rFonts w:ascii="標楷體" w:eastAsia="標楷體" w:hAnsi="標楷體" w:hint="eastAsia"/>
          <w:sz w:val="32"/>
          <w:szCs w:val="32"/>
        </w:rPr>
        <w:t>10</w:t>
      </w:r>
      <w:r w:rsidR="00CB74E1">
        <w:rPr>
          <w:rFonts w:ascii="標楷體" w:eastAsia="標楷體" w:hAnsi="標楷體" w:hint="eastAsia"/>
          <w:sz w:val="32"/>
          <w:szCs w:val="32"/>
        </w:rPr>
        <w:t>8</w:t>
      </w:r>
      <w:r w:rsidRPr="00344FFA">
        <w:rPr>
          <w:rFonts w:ascii="標楷體" w:eastAsia="標楷體" w:hAnsi="標楷體" w:hint="eastAsia"/>
          <w:sz w:val="32"/>
          <w:szCs w:val="32"/>
        </w:rPr>
        <w:t>年度施政計畫，其目標與重點如次：</w:t>
      </w:r>
    </w:p>
    <w:p w:rsidR="00D9281E" w:rsidRPr="00344FFA" w:rsidRDefault="00D9281E" w:rsidP="004D7600">
      <w:pPr>
        <w:pStyle w:val="Web"/>
        <w:spacing w:before="0" w:beforeAutospacing="0" w:after="0" w:afterAutospacing="0" w:line="400" w:lineRule="exact"/>
        <w:rPr>
          <w:rFonts w:ascii="標楷體" w:eastAsia="標楷體" w:hAnsi="標楷體" w:hint="eastAsia"/>
          <w:sz w:val="32"/>
          <w:szCs w:val="32"/>
        </w:rPr>
      </w:pPr>
    </w:p>
    <w:p w:rsidR="004D7600" w:rsidRDefault="004D7600" w:rsidP="004D7600">
      <w:pPr>
        <w:pStyle w:val="a7"/>
        <w:snapToGrid w:val="0"/>
        <w:spacing w:beforeLines="50" w:before="120" w:afterLines="50" w:after="120" w:line="360" w:lineRule="auto"/>
        <w:ind w:left="119" w:right="23" w:firstLine="0"/>
        <w:rPr>
          <w:rFonts w:hint="eastAsia"/>
          <w:b/>
          <w:color w:val="FF0000"/>
          <w:kern w:val="0"/>
          <w:sz w:val="32"/>
          <w:u w:val="single"/>
        </w:rPr>
      </w:pPr>
      <w:r>
        <w:rPr>
          <w:rFonts w:hint="eastAsia"/>
          <w:b/>
          <w:sz w:val="32"/>
        </w:rPr>
        <w:t>二、年度策略目標：</w:t>
      </w:r>
    </w:p>
    <w:p w:rsidR="00357C13" w:rsidRPr="00952261" w:rsidRDefault="00357C13" w:rsidP="004D7600">
      <w:pPr>
        <w:pStyle w:val="ad"/>
        <w:widowControl w:val="0"/>
        <w:numPr>
          <w:ilvl w:val="0"/>
          <w:numId w:val="3"/>
        </w:numPr>
        <w:snapToGrid w:val="0"/>
        <w:spacing w:after="0" w:line="400" w:lineRule="atLeast"/>
        <w:jc w:val="left"/>
        <w:rPr>
          <w:rFonts w:hint="eastAsia"/>
          <w:b w:val="0"/>
          <w:sz w:val="32"/>
          <w:szCs w:val="32"/>
        </w:rPr>
      </w:pPr>
      <w:r w:rsidRPr="00952261">
        <w:rPr>
          <w:rFonts w:hint="eastAsia"/>
          <w:b w:val="0"/>
          <w:sz w:val="32"/>
          <w:szCs w:val="36"/>
        </w:rPr>
        <w:t>均衡能源安全、環境永續及綠色經濟發展，建構安全、效率、潔淨之能源供需體系，營造綠能低碳發展環境，進而創造永續價值。</w:t>
      </w:r>
    </w:p>
    <w:p w:rsidR="00357C13" w:rsidRPr="00952261" w:rsidRDefault="00D51FC6" w:rsidP="004D7600">
      <w:pPr>
        <w:pStyle w:val="ad"/>
        <w:widowControl w:val="0"/>
        <w:numPr>
          <w:ilvl w:val="0"/>
          <w:numId w:val="3"/>
        </w:numPr>
        <w:snapToGrid w:val="0"/>
        <w:spacing w:after="0" w:line="400" w:lineRule="atLeast"/>
        <w:jc w:val="left"/>
        <w:rPr>
          <w:rFonts w:hint="eastAsia"/>
          <w:b w:val="0"/>
          <w:sz w:val="32"/>
          <w:szCs w:val="32"/>
        </w:rPr>
      </w:pPr>
      <w:r>
        <w:rPr>
          <w:rFonts w:hint="eastAsia"/>
          <w:b w:val="0"/>
          <w:sz w:val="32"/>
          <w:szCs w:val="36"/>
        </w:rPr>
        <w:t>推</w:t>
      </w:r>
      <w:r w:rsidR="00357C13" w:rsidRPr="00952261">
        <w:rPr>
          <w:rFonts w:hint="eastAsia"/>
          <w:b w:val="0"/>
          <w:sz w:val="32"/>
          <w:szCs w:val="36"/>
        </w:rPr>
        <w:t>動我國能源轉型，</w:t>
      </w:r>
      <w:r w:rsidR="002B69B6" w:rsidRPr="00952261">
        <w:rPr>
          <w:rFonts w:hint="eastAsia"/>
          <w:b w:val="0"/>
          <w:sz w:val="32"/>
          <w:szCs w:val="36"/>
        </w:rPr>
        <w:t>推動節能極大化</w:t>
      </w:r>
      <w:r w:rsidR="00357C13" w:rsidRPr="00952261">
        <w:rPr>
          <w:rFonts w:hint="eastAsia"/>
          <w:b w:val="0"/>
          <w:sz w:val="32"/>
          <w:szCs w:val="36"/>
        </w:rPr>
        <w:t>、</w:t>
      </w:r>
      <w:r>
        <w:rPr>
          <w:b w:val="0"/>
          <w:sz w:val="32"/>
          <w:szCs w:val="36"/>
        </w:rPr>
        <w:t>提升能源使用效率並落實能源先期管理</w:t>
      </w:r>
      <w:r w:rsidR="00357C13" w:rsidRPr="00952261">
        <w:rPr>
          <w:rFonts w:hint="eastAsia"/>
          <w:b w:val="0"/>
          <w:sz w:val="32"/>
          <w:szCs w:val="36"/>
        </w:rPr>
        <w:t>。</w:t>
      </w:r>
    </w:p>
    <w:p w:rsidR="00D34975" w:rsidRPr="00952261" w:rsidRDefault="00D34975" w:rsidP="00D34975">
      <w:pPr>
        <w:pStyle w:val="ad"/>
        <w:widowControl w:val="0"/>
        <w:numPr>
          <w:ilvl w:val="0"/>
          <w:numId w:val="3"/>
        </w:numPr>
        <w:snapToGrid w:val="0"/>
        <w:spacing w:after="0" w:line="400" w:lineRule="atLeast"/>
        <w:ind w:left="958"/>
        <w:jc w:val="left"/>
        <w:rPr>
          <w:rFonts w:hint="eastAsia"/>
          <w:b w:val="0"/>
          <w:sz w:val="32"/>
          <w:szCs w:val="32"/>
        </w:rPr>
      </w:pPr>
      <w:r w:rsidRPr="00952261">
        <w:rPr>
          <w:rFonts w:hint="eastAsia"/>
          <w:b w:val="0"/>
          <w:sz w:val="32"/>
          <w:szCs w:val="32"/>
        </w:rPr>
        <w:t>確保電力穩定供應，</w:t>
      </w:r>
      <w:r w:rsidR="002B69B6" w:rsidRPr="00952261">
        <w:rPr>
          <w:rFonts w:hint="eastAsia"/>
          <w:b w:val="0"/>
          <w:sz w:val="32"/>
          <w:szCs w:val="32"/>
        </w:rPr>
        <w:t>加速電力市場</w:t>
      </w:r>
      <w:r w:rsidRPr="00952261">
        <w:rPr>
          <w:rFonts w:hint="eastAsia"/>
          <w:b w:val="0"/>
          <w:sz w:val="32"/>
          <w:szCs w:val="32"/>
        </w:rPr>
        <w:t>自由化，</w:t>
      </w:r>
      <w:r w:rsidR="002B69B6" w:rsidRPr="00952261">
        <w:rPr>
          <w:rFonts w:hint="eastAsia"/>
          <w:b w:val="0"/>
          <w:sz w:val="32"/>
          <w:szCs w:val="32"/>
        </w:rPr>
        <w:t>推動</w:t>
      </w:r>
      <w:r w:rsidRPr="00952261">
        <w:rPr>
          <w:rFonts w:hint="eastAsia"/>
          <w:b w:val="0"/>
          <w:sz w:val="32"/>
          <w:szCs w:val="32"/>
        </w:rPr>
        <w:t>智慧電網基礎設施、佈局儲能、強化電網穩定度，促進用戶用電安全。</w:t>
      </w:r>
    </w:p>
    <w:p w:rsidR="00D34975" w:rsidRPr="00952261" w:rsidRDefault="00D51FC6" w:rsidP="00D34975">
      <w:pPr>
        <w:pStyle w:val="ad"/>
        <w:widowControl w:val="0"/>
        <w:numPr>
          <w:ilvl w:val="0"/>
          <w:numId w:val="3"/>
        </w:numPr>
        <w:snapToGrid w:val="0"/>
        <w:spacing w:after="0" w:line="400" w:lineRule="atLeast"/>
        <w:ind w:left="958"/>
        <w:jc w:val="left"/>
        <w:rPr>
          <w:rFonts w:hint="eastAsia"/>
          <w:b w:val="0"/>
          <w:sz w:val="32"/>
          <w:szCs w:val="32"/>
        </w:rPr>
      </w:pPr>
      <w:r w:rsidRPr="00D51FC6">
        <w:rPr>
          <w:b w:val="0"/>
          <w:sz w:val="32"/>
          <w:szCs w:val="36"/>
        </w:rPr>
        <w:t>全力發展新能源及再生能源產業</w:t>
      </w:r>
      <w:r w:rsidR="00D34975" w:rsidRPr="00952261">
        <w:rPr>
          <w:rFonts w:hint="eastAsia"/>
          <w:b w:val="0"/>
          <w:sz w:val="32"/>
          <w:szCs w:val="36"/>
        </w:rPr>
        <w:t>，</w:t>
      </w:r>
      <w:r w:rsidRPr="00D51FC6">
        <w:rPr>
          <w:b w:val="0"/>
          <w:sz w:val="32"/>
          <w:szCs w:val="36"/>
        </w:rPr>
        <w:t>落實非核家園，</w:t>
      </w:r>
      <w:r w:rsidR="00D34975" w:rsidRPr="00952261">
        <w:rPr>
          <w:rFonts w:hint="eastAsia"/>
          <w:b w:val="0"/>
          <w:sz w:val="32"/>
          <w:szCs w:val="36"/>
        </w:rPr>
        <w:t>提高能源自主比例</w:t>
      </w:r>
      <w:r w:rsidR="00D34975" w:rsidRPr="00952261">
        <w:rPr>
          <w:rFonts w:hint="eastAsia"/>
          <w:b w:val="0"/>
          <w:sz w:val="32"/>
          <w:szCs w:val="32"/>
        </w:rPr>
        <w:t>，加強再生能源技術研發，</w:t>
      </w:r>
      <w:r w:rsidR="002B69B6" w:rsidRPr="00952261">
        <w:rPr>
          <w:rFonts w:hint="eastAsia"/>
          <w:b w:val="0"/>
          <w:sz w:val="32"/>
          <w:szCs w:val="32"/>
        </w:rPr>
        <w:t>帶動新興</w:t>
      </w:r>
      <w:r w:rsidR="00D34975" w:rsidRPr="00952261">
        <w:rPr>
          <w:rFonts w:hint="eastAsia"/>
          <w:b w:val="0"/>
          <w:sz w:val="32"/>
          <w:szCs w:val="32"/>
        </w:rPr>
        <w:t>綠能產業。</w:t>
      </w:r>
    </w:p>
    <w:p w:rsidR="004D7600" w:rsidRPr="00BA6C89" w:rsidRDefault="004D7600" w:rsidP="004D7600">
      <w:pPr>
        <w:pStyle w:val="ad"/>
        <w:widowControl w:val="0"/>
        <w:numPr>
          <w:ilvl w:val="0"/>
          <w:numId w:val="3"/>
        </w:numPr>
        <w:snapToGrid w:val="0"/>
        <w:spacing w:after="0" w:line="400" w:lineRule="atLeast"/>
        <w:ind w:left="958"/>
        <w:jc w:val="left"/>
        <w:rPr>
          <w:rFonts w:hint="eastAsia"/>
          <w:b w:val="0"/>
          <w:sz w:val="32"/>
          <w:szCs w:val="32"/>
        </w:rPr>
      </w:pPr>
      <w:r w:rsidRPr="00795A91">
        <w:rPr>
          <w:rFonts w:hint="eastAsia"/>
          <w:b w:val="0"/>
          <w:sz w:val="32"/>
          <w:szCs w:val="32"/>
        </w:rPr>
        <w:t>拓展能源領域國際合作</w:t>
      </w:r>
      <w:r w:rsidRPr="00BA6C89">
        <w:rPr>
          <w:rFonts w:hint="eastAsia"/>
          <w:b w:val="0"/>
          <w:sz w:val="32"/>
          <w:szCs w:val="32"/>
        </w:rPr>
        <w:t>。</w:t>
      </w:r>
    </w:p>
    <w:p w:rsidR="004D7600" w:rsidRDefault="004D7600" w:rsidP="00A26ACD">
      <w:pPr>
        <w:pStyle w:val="1"/>
        <w:ind w:hanging="918"/>
        <w:rPr>
          <w:rFonts w:ascii="Times New Roman" w:eastAsia="標楷體" w:hAnsi="Times New Roman" w:hint="eastAsia"/>
          <w:b/>
        </w:rPr>
      </w:pPr>
    </w:p>
    <w:p w:rsidR="004D7600" w:rsidRDefault="004D7600" w:rsidP="00A26ACD">
      <w:pPr>
        <w:pStyle w:val="1"/>
        <w:ind w:hanging="918"/>
        <w:rPr>
          <w:rFonts w:ascii="Times New Roman" w:eastAsia="標楷體" w:hAnsi="Times New Roman" w:hint="eastAsia"/>
          <w:b/>
        </w:rPr>
      </w:pPr>
    </w:p>
    <w:p w:rsidR="000745F6" w:rsidRDefault="000745F6" w:rsidP="00A26ACD">
      <w:pPr>
        <w:pStyle w:val="1"/>
        <w:ind w:hanging="918"/>
        <w:rPr>
          <w:rFonts w:ascii="Times New Roman" w:eastAsia="標楷體" w:hAnsi="Times New Roman" w:hint="eastAsia"/>
          <w:b/>
        </w:rPr>
      </w:pPr>
    </w:p>
    <w:p w:rsidR="00D51FC6" w:rsidRDefault="00D51FC6" w:rsidP="00A26ACD">
      <w:pPr>
        <w:pStyle w:val="1"/>
        <w:ind w:hanging="918"/>
        <w:rPr>
          <w:rFonts w:ascii="Times New Roman" w:eastAsia="標楷體" w:hAnsi="Times New Roman" w:hint="eastAsia"/>
          <w:b/>
        </w:rPr>
      </w:pPr>
    </w:p>
    <w:p w:rsidR="00D51FC6" w:rsidRDefault="00D51FC6" w:rsidP="00A26ACD">
      <w:pPr>
        <w:pStyle w:val="1"/>
        <w:ind w:hanging="918"/>
        <w:rPr>
          <w:rFonts w:ascii="Times New Roman" w:eastAsia="標楷體" w:hAnsi="Times New Roman" w:hint="eastAsia"/>
          <w:b/>
        </w:rPr>
      </w:pPr>
    </w:p>
    <w:p w:rsidR="001B291C" w:rsidRPr="00A26ACD" w:rsidRDefault="00B21730" w:rsidP="00A26ACD">
      <w:pPr>
        <w:pStyle w:val="1"/>
        <w:ind w:hanging="918"/>
        <w:rPr>
          <w:rFonts w:ascii="Times New Roman" w:eastAsia="標楷體" w:hAnsi="Times New Roman" w:hint="eastAsia"/>
          <w:b/>
        </w:rPr>
      </w:pPr>
      <w:r>
        <w:rPr>
          <w:rFonts w:ascii="Times New Roman" w:eastAsia="標楷體" w:hAnsi="Times New Roman"/>
          <w:b/>
        </w:rPr>
        <w:br w:type="page"/>
      </w:r>
      <w:r w:rsidR="00CB74E1">
        <w:rPr>
          <w:rFonts w:ascii="Times New Roman" w:eastAsia="標楷體" w:hAnsi="Times New Roman" w:hint="eastAsia"/>
          <w:b/>
        </w:rPr>
        <w:lastRenderedPageBreak/>
        <w:t>三</w:t>
      </w:r>
      <w:r w:rsidR="001B291C" w:rsidRPr="00A26ACD">
        <w:rPr>
          <w:rFonts w:ascii="Times New Roman" w:eastAsia="標楷體" w:hAnsi="Times New Roman" w:hint="eastAsia"/>
          <w:b/>
        </w:rPr>
        <w:t>、年度重要施政計畫：</w:t>
      </w:r>
    </w:p>
    <w:p w:rsidR="001B291C" w:rsidRDefault="001B291C" w:rsidP="00352F3F">
      <w:pPr>
        <w:pStyle w:val="a7"/>
        <w:spacing w:after="120"/>
        <w:ind w:left="1083" w:right="-329" w:hanging="1323"/>
        <w:jc w:val="center"/>
        <w:rPr>
          <w:rFonts w:hint="eastAsia"/>
          <w:sz w:val="32"/>
        </w:rPr>
      </w:pPr>
      <w:r>
        <w:rPr>
          <w:rFonts w:hint="eastAsia"/>
          <w:sz w:val="32"/>
        </w:rPr>
        <w:t>經濟部能源局</w:t>
      </w:r>
      <w:r w:rsidR="004B3358" w:rsidRPr="007B3CF9">
        <w:rPr>
          <w:rFonts w:hint="eastAsia"/>
          <w:color w:val="000000"/>
          <w:sz w:val="32"/>
        </w:rPr>
        <w:t>10</w:t>
      </w:r>
      <w:r w:rsidR="00CB74E1">
        <w:rPr>
          <w:rFonts w:hint="eastAsia"/>
          <w:color w:val="000000"/>
          <w:sz w:val="32"/>
        </w:rPr>
        <w:t>8</w:t>
      </w:r>
      <w:r>
        <w:rPr>
          <w:rFonts w:hint="eastAsia"/>
          <w:sz w:val="32"/>
        </w:rPr>
        <w:t>年度重要施政計畫</w:t>
      </w:r>
    </w:p>
    <w:tbl>
      <w:tblPr>
        <w:tblW w:w="5181"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45"/>
        <w:gridCol w:w="2107"/>
        <w:gridCol w:w="710"/>
        <w:gridCol w:w="5102"/>
      </w:tblGrid>
      <w:tr w:rsidR="00CB74E1" w:rsidTr="00AD5DF7">
        <w:tc>
          <w:tcPr>
            <w:tcW w:w="772"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wordWrap w:val="0"/>
              <w:spacing w:line="320" w:lineRule="exact"/>
              <w:jc w:val="both"/>
              <w:rPr>
                <w:rFonts w:ascii="標楷體" w:eastAsia="標楷體" w:hAnsi="標楷體"/>
              </w:rPr>
            </w:pPr>
            <w:r w:rsidRPr="00CB74E1">
              <w:rPr>
                <w:rFonts w:ascii="標楷體" w:eastAsia="標楷體" w:hAnsi="標楷體" w:hint="eastAsia"/>
              </w:rPr>
              <w:t>工作計畫名稱</w:t>
            </w:r>
          </w:p>
        </w:tc>
        <w:tc>
          <w:tcPr>
            <w:tcW w:w="11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wordWrap w:val="0"/>
              <w:spacing w:line="320" w:lineRule="exact"/>
              <w:jc w:val="both"/>
              <w:rPr>
                <w:rFonts w:ascii="標楷體" w:eastAsia="標楷體" w:hAnsi="標楷體"/>
              </w:rPr>
            </w:pPr>
            <w:r w:rsidRPr="00CB74E1">
              <w:rPr>
                <w:rFonts w:ascii="標楷體" w:eastAsia="標楷體" w:hAnsi="標楷體" w:hint="eastAsia"/>
              </w:rPr>
              <w:t>重要計畫項目</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計畫</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類別</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ind w:left="480" w:hanging="480"/>
              <w:jc w:val="both"/>
              <w:rPr>
                <w:rFonts w:ascii="標楷體" w:eastAsia="標楷體" w:hAnsi="標楷體"/>
              </w:rPr>
            </w:pPr>
            <w:r w:rsidRPr="00CB74E1">
              <w:rPr>
                <w:rFonts w:ascii="標楷體" w:eastAsia="標楷體" w:hAnsi="標楷體" w:hint="eastAsia"/>
              </w:rPr>
              <w:t>實施內容</w:t>
            </w:r>
          </w:p>
        </w:tc>
      </w:tr>
      <w:tr w:rsidR="00AD5DF7" w:rsidRPr="00CB74E1" w:rsidTr="00AD5DF7">
        <w:tc>
          <w:tcPr>
            <w:tcW w:w="772" w:type="pct"/>
            <w:vMerge w:val="restart"/>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610" w:hangingChars="254" w:hanging="610"/>
              <w:jc w:val="both"/>
              <w:rPr>
                <w:rFonts w:ascii="標楷體" w:eastAsia="標楷體" w:hAnsi="標楷體"/>
              </w:rPr>
            </w:pPr>
            <w:r>
              <w:rPr>
                <w:rFonts w:ascii="標楷體" w:eastAsia="標楷體" w:hAnsi="標楷體" w:hint="eastAsia"/>
              </w:rPr>
              <w:t>(一)</w:t>
            </w:r>
            <w:r w:rsidRPr="00CB74E1">
              <w:rPr>
                <w:rFonts w:ascii="標楷體" w:eastAsia="標楷體" w:hAnsi="標楷體" w:hint="eastAsia"/>
              </w:rPr>
              <w:t>能源轉型政策規劃</w:t>
            </w: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83" w:hangingChars="118" w:hanging="283"/>
              <w:jc w:val="both"/>
              <w:rPr>
                <w:rFonts w:ascii="標楷體" w:eastAsia="標楷體" w:hAnsi="標楷體"/>
              </w:rPr>
            </w:pPr>
            <w:r>
              <w:rPr>
                <w:rFonts w:ascii="標楷體" w:eastAsia="標楷體" w:hAnsi="標楷體" w:hint="eastAsia"/>
              </w:rPr>
              <w:t>1.</w:t>
            </w:r>
            <w:r w:rsidRPr="00CB74E1">
              <w:rPr>
                <w:rFonts w:ascii="標楷體" w:eastAsia="標楷體" w:hAnsi="標楷體" w:hint="eastAsia"/>
              </w:rPr>
              <w:t>國家能源發展策略規劃及決策支援能量建構</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一、蒐集國內外能源資訊，針對國內可能衝擊或可為我國借鏡之處進行研析，並建立與國際能源智庫交流合作。</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二、全方位協助地方政府推動能源治理，強化地方能源治理分析、交流及推廣。</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三、規劃能源轉型白皮書定期檢討機制，撰擬年度執行報告。</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四、落實能源政策宣導，與民間組織建立能源政策溝通機制及管道。</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五、辦理「能源局風險管理與緊急應變機制」相關業務。</w:t>
            </w:r>
          </w:p>
        </w:tc>
      </w:tr>
      <w:tr w:rsidR="00AD5DF7" w:rsidRPr="00CB74E1" w:rsidTr="00AD5DF7">
        <w:tc>
          <w:tcPr>
            <w:tcW w:w="772" w:type="pct"/>
            <w:vMerge/>
            <w:tcBorders>
              <w:top w:val="outset" w:sz="6" w:space="0" w:color="000000"/>
              <w:left w:val="outset" w:sz="6" w:space="0" w:color="000000"/>
              <w:bottom w:val="outset" w:sz="6" w:space="0" w:color="000000"/>
              <w:right w:val="outset" w:sz="6" w:space="0" w:color="000000"/>
            </w:tcBorders>
            <w:textDirection w:val="lrTbV"/>
            <w:hideMark/>
          </w:tcPr>
          <w:p w:rsidR="00CB74E1" w:rsidRPr="00CB74E1" w:rsidRDefault="00CB74E1" w:rsidP="00CB74E1">
            <w:pPr>
              <w:jc w:val="both"/>
              <w:rPr>
                <w:rFonts w:ascii="標楷體" w:eastAsia="標楷體" w:hAnsi="標楷體"/>
              </w:rPr>
            </w:pP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69" w:hangingChars="112" w:hanging="269"/>
              <w:jc w:val="both"/>
              <w:rPr>
                <w:rFonts w:ascii="標楷體" w:eastAsia="標楷體" w:hAnsi="標楷體"/>
              </w:rPr>
            </w:pPr>
            <w:r>
              <w:rPr>
                <w:rFonts w:ascii="標楷體" w:eastAsia="標楷體" w:hAnsi="標楷體" w:hint="eastAsia"/>
              </w:rPr>
              <w:t>2.</w:t>
            </w:r>
            <w:r w:rsidRPr="00CB74E1">
              <w:rPr>
                <w:rFonts w:ascii="標楷體" w:eastAsia="標楷體" w:hAnsi="標楷體" w:hint="eastAsia"/>
              </w:rPr>
              <w:t>能源先期管理制度執行、查核與研究</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一、依「能源管理法」第15-1條及第16條規定，就大型投資生產計畫，辦理能源使用說明書審查，落實產業能源先期管理，提升能源使用效率。</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二、就經審查核准能源使用說明書之大型投資生產計畫，商轉前定期追蹤作業；並於計畫完工商轉後一年內辦理執行情形查核作業，並滾動式檢討相關作業流程。</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三、定期追蹤能源大用戶能源使用動態，掌握可能申請能源使用說明書審查之適用對象，先期進行廠商輔導，以減輕能源大用戶申請能源使用說明書審查相關行政作業成本。</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四、因應能源相關政策及法規制定、國內外能源與環保情勢變化及能源先期管理制度執行情形，研析能源先期管理制度面臨課題與研擬未來執行方向與相關法規修正建議。</w:t>
            </w:r>
          </w:p>
        </w:tc>
      </w:tr>
      <w:tr w:rsidR="00AD5DF7" w:rsidRPr="00CB74E1" w:rsidTr="00AD5DF7">
        <w:tc>
          <w:tcPr>
            <w:tcW w:w="772" w:type="pct"/>
            <w:vMerge w:val="restart"/>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610" w:hangingChars="254" w:hanging="610"/>
              <w:jc w:val="both"/>
              <w:rPr>
                <w:rFonts w:ascii="標楷體" w:eastAsia="標楷體" w:hAnsi="標楷體"/>
              </w:rPr>
            </w:pPr>
            <w:r>
              <w:rPr>
                <w:rFonts w:ascii="標楷體" w:eastAsia="標楷體" w:hAnsi="標楷體" w:hint="eastAsia"/>
              </w:rPr>
              <w:t>(二)</w:t>
            </w:r>
            <w:r w:rsidRPr="00CB74E1">
              <w:rPr>
                <w:rFonts w:ascii="標楷體" w:eastAsia="標楷體" w:hAnsi="標楷體" w:hint="eastAsia"/>
              </w:rPr>
              <w:t>確保電力穩定供應</w:t>
            </w: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98" w:hangingChars="124" w:hanging="298"/>
              <w:jc w:val="both"/>
              <w:rPr>
                <w:rFonts w:ascii="標楷體" w:eastAsia="標楷體" w:hAnsi="標楷體"/>
              </w:rPr>
            </w:pPr>
            <w:r>
              <w:rPr>
                <w:rFonts w:ascii="標楷體" w:eastAsia="標楷體" w:hAnsi="標楷體" w:hint="eastAsia"/>
              </w:rPr>
              <w:t>1.</w:t>
            </w:r>
            <w:r w:rsidRPr="00CB74E1">
              <w:rPr>
                <w:rFonts w:ascii="標楷體" w:eastAsia="標楷體" w:hAnsi="標楷體" w:hint="eastAsia"/>
              </w:rPr>
              <w:t>電力市場發展規劃與推動</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社會</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一、蒐集分析國內外電業改革及電力政策領域最新發展趨勢，滾動檢討電力政策發展策略。</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二、依電業法規劃辦理「備用供電容量管理辦法」、「電力排碳係數管理辦法」、「發電業純益認定運用與監督管理規則」相關子法及配套措施。</w:t>
            </w:r>
          </w:p>
        </w:tc>
      </w:tr>
      <w:tr w:rsidR="00AD5DF7" w:rsidRPr="00CB74E1" w:rsidTr="00AD5DF7">
        <w:tc>
          <w:tcPr>
            <w:tcW w:w="772" w:type="pct"/>
            <w:vMerge/>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610" w:hangingChars="254" w:hanging="610"/>
              <w:jc w:val="both"/>
              <w:rPr>
                <w:rFonts w:ascii="標楷體" w:eastAsia="標楷體" w:hAnsi="標楷體"/>
              </w:rPr>
            </w:pP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326" w:hangingChars="136" w:hanging="326"/>
              <w:jc w:val="both"/>
              <w:rPr>
                <w:rFonts w:ascii="標楷體" w:eastAsia="標楷體" w:hAnsi="標楷體"/>
              </w:rPr>
            </w:pPr>
            <w:r>
              <w:rPr>
                <w:rFonts w:ascii="標楷體" w:eastAsia="標楷體" w:hAnsi="標楷體" w:hint="eastAsia"/>
              </w:rPr>
              <w:t>2.</w:t>
            </w:r>
            <w:r w:rsidRPr="00CB74E1">
              <w:rPr>
                <w:rFonts w:ascii="標楷體" w:eastAsia="標楷體" w:hAnsi="標楷體" w:hint="eastAsia"/>
              </w:rPr>
              <w:t>智慧電網政策推動與應用</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一、推動「智慧電網總體規劃方案」，包含研擬環境構面（法規／政策）細部執行計畫、計畫管考及跨單位協調、「智慧電網推動小組」幕僚行政作業。</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二、發展虛擬電廠調度所需之電力負載需求預測，以及用戶端之負載及發電裝置之調度決</w:t>
            </w:r>
            <w:r w:rsidRPr="00CB74E1">
              <w:rPr>
                <w:rFonts w:ascii="標楷體" w:eastAsia="標楷體" w:hAnsi="標楷體" w:hint="eastAsia"/>
              </w:rPr>
              <w:lastRenderedPageBreak/>
              <w:t>策等關鍵技術。</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三、投入建立電力系統分析能量，協助完善電業及電力市場管理制度。</w:t>
            </w:r>
          </w:p>
        </w:tc>
      </w:tr>
      <w:tr w:rsidR="00AD5DF7" w:rsidRPr="00CB74E1" w:rsidTr="00AD5DF7">
        <w:tc>
          <w:tcPr>
            <w:tcW w:w="772" w:type="pct"/>
            <w:vMerge w:val="restart"/>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610" w:hangingChars="254" w:hanging="610"/>
              <w:jc w:val="both"/>
              <w:rPr>
                <w:rFonts w:ascii="標楷體" w:eastAsia="標楷體" w:hAnsi="標楷體"/>
              </w:rPr>
            </w:pPr>
            <w:r>
              <w:rPr>
                <w:rFonts w:ascii="標楷體" w:eastAsia="標楷體" w:hAnsi="標楷體" w:hint="eastAsia"/>
              </w:rPr>
              <w:lastRenderedPageBreak/>
              <w:t>(三)</w:t>
            </w:r>
            <w:r w:rsidRPr="00CB74E1">
              <w:rPr>
                <w:rFonts w:ascii="標楷體" w:eastAsia="標楷體" w:hAnsi="標楷體" w:hint="eastAsia"/>
              </w:rPr>
              <w:t>全力發展新及再生能源技術</w:t>
            </w: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83" w:hangingChars="118" w:hanging="283"/>
              <w:jc w:val="both"/>
              <w:rPr>
                <w:rFonts w:ascii="標楷體" w:eastAsia="標楷體" w:hAnsi="標楷體"/>
              </w:rPr>
            </w:pPr>
            <w:r>
              <w:rPr>
                <w:rFonts w:ascii="標楷體" w:eastAsia="標楷體" w:hAnsi="標楷體" w:hint="eastAsia"/>
              </w:rPr>
              <w:t>1.</w:t>
            </w:r>
            <w:r w:rsidRPr="00CB74E1">
              <w:rPr>
                <w:rFonts w:ascii="標楷體" w:eastAsia="標楷體" w:hAnsi="標楷體" w:hint="eastAsia"/>
              </w:rPr>
              <w:t>千架海陸風力機設置推動及關鍵技術研發</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一、離岸風電示範計畫執行與推動。</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二、離岸風電區塊開發政策研擬與推動。</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三、離岸風電基礎建設規劃與推動。</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四、申設障礙排除與行政法規調和。</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五、陸域風力發電設置推動。</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六、風場海洋生態調查監測規範建置與實證。</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七、風場與海洋生態永續推動策略研擬。</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八、浮式雷射測風及海域環境觀測整合監測。</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九、大規模風場模擬及風機尾流效應技術研發。</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十、環境監測資料庫建置與整合。</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十一、智慧化風場運轉與維護管理系統開發。</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十二、智慧化葉片檢測與運維人員安全裝備開發。</w:t>
            </w:r>
          </w:p>
        </w:tc>
      </w:tr>
      <w:tr w:rsidR="00AD5DF7" w:rsidRPr="00CB74E1" w:rsidTr="00AD5DF7">
        <w:tc>
          <w:tcPr>
            <w:tcW w:w="772" w:type="pct"/>
            <w:vMerge/>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610" w:hangingChars="254" w:hanging="610"/>
              <w:jc w:val="both"/>
              <w:rPr>
                <w:rFonts w:ascii="標楷體" w:eastAsia="標楷體" w:hAnsi="標楷體"/>
              </w:rPr>
            </w:pP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83" w:hangingChars="118" w:hanging="283"/>
              <w:jc w:val="both"/>
              <w:rPr>
                <w:rFonts w:ascii="標楷體" w:eastAsia="標楷體" w:hAnsi="標楷體"/>
              </w:rPr>
            </w:pPr>
            <w:r>
              <w:rPr>
                <w:rFonts w:ascii="標楷體" w:eastAsia="標楷體" w:hAnsi="標楷體" w:hint="eastAsia"/>
              </w:rPr>
              <w:t>2.</w:t>
            </w:r>
            <w:r w:rsidRPr="00CB74E1">
              <w:rPr>
                <w:rFonts w:ascii="標楷體" w:eastAsia="標楷體" w:hAnsi="標楷體" w:hint="eastAsia"/>
              </w:rPr>
              <w:t>太陽光電環境建構及產業高值化推動</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營運太陽光電單一窗口推動辦公室，持續推動太陽光電普及化，透過擬定多元發展策略、協助修訂法規並專案輔導推動設置、協助業者建立連鎖通路增加民眾設置信心、活絡綠色金融擴增資金管道、排除電網問題降低併聯障礙、多元宣導擴大民眾參與等做法，促成政策目標落實。</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二、建立太陽光電系統結構與消防安全審核與檢查機制，健全設置環境，提高系統安全，以發揮太陽光電設置效益。</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三、多元應用技術開發，促使產品高值化發展；同時發展系統關鍵元件開發能力，提升可靠度，就廢棄模組回收機制與技術研究，研析國內外現有模組回收機制及基金運作模式，評估不同模組回收技術之成本差異，供作未來擬訂基金運作模式參考。</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四、加強國際交流與合作，並於太陽光電展會活動設置專區，以擴大國際能見度，提升台灣轉型綠能之國際形象。</w:t>
            </w:r>
          </w:p>
        </w:tc>
      </w:tr>
      <w:tr w:rsidR="00AD5DF7" w:rsidRPr="00CB74E1" w:rsidTr="00AD5DF7">
        <w:tc>
          <w:tcPr>
            <w:tcW w:w="772" w:type="pct"/>
            <w:vMerge/>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610" w:hangingChars="254" w:hanging="610"/>
              <w:jc w:val="both"/>
              <w:rPr>
                <w:rFonts w:ascii="標楷體" w:eastAsia="標楷體" w:hAnsi="標楷體"/>
              </w:rPr>
            </w:pP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83" w:hangingChars="118" w:hanging="283"/>
              <w:jc w:val="both"/>
              <w:rPr>
                <w:rFonts w:ascii="標楷體" w:eastAsia="標楷體" w:hAnsi="標楷體"/>
              </w:rPr>
            </w:pPr>
            <w:r>
              <w:rPr>
                <w:rFonts w:ascii="標楷體" w:eastAsia="標楷體" w:hAnsi="標楷體" w:hint="eastAsia"/>
              </w:rPr>
              <w:t>3.</w:t>
            </w:r>
            <w:r w:rsidRPr="00CB74E1">
              <w:rPr>
                <w:rFonts w:ascii="標楷體" w:eastAsia="標楷體" w:hAnsi="標楷體" w:hint="eastAsia"/>
              </w:rPr>
              <w:t>生質能源技術開發</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一、開發高效率觸媒氣化發電技術：建置並驗證氣化系統、開發商業化高效觸媒，促進分散式生質能發電系統設置。</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二、開發生物固碳能源利用技術：研發產製中長碳鏈化合物技術，開發微藻產率穩定技術與示範驗證，提升微藻產業競爭力並強化微藻能源產業鏈。</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三、辦理生質能技術應用推動：如廢棄物衍生燃料、裂解產油、乾式醱酵沼氣發電、木質纖維素解聚應用，提升生質廢棄物熱電應用。</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lastRenderedPageBreak/>
              <w:t>四、推動生質熱電混燒政策與混燒示範驗證，輔導追蹤沼氣發電補助計畫示範運行成效，以利研擬生質熱電後續政策。</w:t>
            </w:r>
          </w:p>
        </w:tc>
      </w:tr>
      <w:tr w:rsidR="00AD5DF7" w:rsidRPr="00CB74E1" w:rsidTr="00AD5DF7">
        <w:tc>
          <w:tcPr>
            <w:tcW w:w="772" w:type="pct"/>
            <w:vMerge w:val="restart"/>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wordWrap w:val="0"/>
              <w:spacing w:line="320" w:lineRule="exact"/>
              <w:ind w:left="610" w:hangingChars="254" w:hanging="610"/>
              <w:jc w:val="both"/>
              <w:rPr>
                <w:rFonts w:ascii="標楷體" w:eastAsia="標楷體" w:hAnsi="標楷體"/>
              </w:rPr>
            </w:pPr>
            <w:r>
              <w:rPr>
                <w:rFonts w:ascii="標楷體" w:eastAsia="標楷體" w:hAnsi="標楷體" w:hint="eastAsia"/>
              </w:rPr>
              <w:lastRenderedPageBreak/>
              <w:t>(四)</w:t>
            </w:r>
            <w:r w:rsidRPr="00CB74E1">
              <w:rPr>
                <w:rFonts w:ascii="標楷體" w:eastAsia="標楷體" w:hAnsi="標楷體" w:hint="eastAsia"/>
              </w:rPr>
              <w:t>推動節能極大化、提升能源使用效率</w:t>
            </w: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83" w:hangingChars="118" w:hanging="283"/>
              <w:jc w:val="both"/>
              <w:rPr>
                <w:rFonts w:ascii="標楷體" w:eastAsia="標楷體" w:hAnsi="標楷體"/>
              </w:rPr>
            </w:pPr>
            <w:r>
              <w:rPr>
                <w:rFonts w:ascii="標楷體" w:eastAsia="標楷體" w:hAnsi="標楷體" w:hint="eastAsia"/>
              </w:rPr>
              <w:t>1.</w:t>
            </w:r>
            <w:r w:rsidRPr="00CB74E1">
              <w:rPr>
                <w:rFonts w:ascii="標楷體" w:eastAsia="標楷體" w:hAnsi="標楷體" w:hint="eastAsia"/>
              </w:rPr>
              <w:t>使用能源設備及器具效率管理政策執行與基準訂定研究</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firstLine="480"/>
              <w:jc w:val="both"/>
              <w:rPr>
                <w:rFonts w:ascii="標楷體" w:eastAsia="標楷體" w:hAnsi="標楷體"/>
              </w:rPr>
            </w:pPr>
            <w:r w:rsidRPr="00CB74E1">
              <w:rPr>
                <w:rFonts w:ascii="標楷體" w:eastAsia="標楷體" w:hAnsi="標楷體" w:hint="eastAsia"/>
                <w:spacing w:val="12"/>
              </w:rPr>
              <w:t>全面檢視提升使用能源設備或器具容許耗能基準（MEPS）、</w:t>
            </w:r>
            <w:r w:rsidRPr="00CB74E1">
              <w:rPr>
                <w:rFonts w:ascii="標楷體" w:eastAsia="標楷體" w:hAnsi="標楷體" w:hint="eastAsia"/>
              </w:rPr>
              <w:t>節能標章及能源效率分級標示之能效基準，研訂（修）各項設備能效規定，並執行使用能源設備或器具能源效率管理制度及市場查核。</w:t>
            </w:r>
          </w:p>
        </w:tc>
      </w:tr>
      <w:tr w:rsidR="00AD5DF7" w:rsidRPr="00CB74E1" w:rsidTr="00AD5DF7">
        <w:tc>
          <w:tcPr>
            <w:tcW w:w="772" w:type="pct"/>
            <w:vMerge/>
            <w:tcBorders>
              <w:top w:val="outset" w:sz="6" w:space="0" w:color="000000"/>
              <w:left w:val="outset" w:sz="6" w:space="0" w:color="000000"/>
              <w:bottom w:val="outset" w:sz="6" w:space="0" w:color="000000"/>
              <w:right w:val="outset" w:sz="6" w:space="0" w:color="000000"/>
            </w:tcBorders>
            <w:hideMark/>
          </w:tcPr>
          <w:p w:rsidR="00CB74E1" w:rsidRPr="00CB74E1" w:rsidRDefault="00CB74E1" w:rsidP="00CB74E1">
            <w:pPr>
              <w:jc w:val="both"/>
              <w:rPr>
                <w:rFonts w:ascii="標楷體" w:eastAsia="標楷體" w:hAnsi="標楷體"/>
              </w:rPr>
            </w:pPr>
          </w:p>
        </w:tc>
        <w:tc>
          <w:tcPr>
            <w:tcW w:w="1125" w:type="pct"/>
            <w:tcBorders>
              <w:top w:val="outset" w:sz="6" w:space="0" w:color="000000"/>
              <w:left w:val="outset" w:sz="6" w:space="0" w:color="000000"/>
              <w:bottom w:val="outset" w:sz="6" w:space="0" w:color="000000"/>
              <w:right w:val="outset" w:sz="6" w:space="0" w:color="000000"/>
            </w:tcBorders>
            <w:hideMark/>
          </w:tcPr>
          <w:p w:rsidR="00CB74E1" w:rsidRPr="00CB74E1" w:rsidRDefault="00CB74E1" w:rsidP="00D51FC6">
            <w:pPr>
              <w:wordWrap w:val="0"/>
              <w:spacing w:line="320" w:lineRule="exact"/>
              <w:ind w:left="298" w:hangingChars="124" w:hanging="298"/>
              <w:jc w:val="both"/>
              <w:rPr>
                <w:rFonts w:ascii="標楷體" w:eastAsia="標楷體" w:hAnsi="標楷體"/>
              </w:rPr>
            </w:pPr>
            <w:r>
              <w:rPr>
                <w:rFonts w:ascii="標楷體" w:eastAsia="標楷體" w:hAnsi="標楷體" w:hint="eastAsia"/>
              </w:rPr>
              <w:t>2.</w:t>
            </w:r>
            <w:r w:rsidRPr="00CB74E1">
              <w:rPr>
                <w:rFonts w:ascii="標楷體" w:eastAsia="標楷體" w:hAnsi="標楷體" w:hint="eastAsia"/>
              </w:rPr>
              <w:t>住宅與服務業能源查核及節能技術輔導推廣</w:t>
            </w:r>
          </w:p>
        </w:tc>
        <w:tc>
          <w:tcPr>
            <w:tcW w:w="379" w:type="pct"/>
            <w:tcBorders>
              <w:top w:val="outset" w:sz="6" w:space="0" w:color="000000"/>
              <w:left w:val="outset" w:sz="6" w:space="0" w:color="000000"/>
              <w:bottom w:val="outset" w:sz="6" w:space="0" w:color="000000"/>
              <w:right w:val="outset" w:sz="6" w:space="0" w:color="000000"/>
            </w:tcBorders>
            <w:hideMark/>
          </w:tcPr>
          <w:p w:rsidR="00AD5DF7" w:rsidRDefault="00CB74E1" w:rsidP="00AD5DF7">
            <w:pPr>
              <w:wordWrap w:val="0"/>
              <w:spacing w:line="320" w:lineRule="exact"/>
              <w:jc w:val="center"/>
              <w:rPr>
                <w:rFonts w:ascii="標楷體" w:eastAsia="標楷體" w:hAnsi="標楷體" w:hint="eastAsia"/>
              </w:rPr>
            </w:pPr>
            <w:r w:rsidRPr="00CB74E1">
              <w:rPr>
                <w:rFonts w:ascii="標楷體" w:eastAsia="標楷體" w:hAnsi="標楷體" w:hint="eastAsia"/>
              </w:rPr>
              <w:t>科技</w:t>
            </w:r>
          </w:p>
          <w:p w:rsidR="00CB74E1" w:rsidRPr="00CB74E1" w:rsidRDefault="00CB74E1" w:rsidP="00AD5DF7">
            <w:pPr>
              <w:wordWrap w:val="0"/>
              <w:spacing w:line="320" w:lineRule="exact"/>
              <w:jc w:val="center"/>
              <w:rPr>
                <w:rFonts w:ascii="標楷體" w:eastAsia="標楷體" w:hAnsi="標楷體"/>
              </w:rPr>
            </w:pPr>
            <w:r w:rsidRPr="00CB74E1">
              <w:rPr>
                <w:rFonts w:ascii="標楷體" w:eastAsia="標楷體" w:hAnsi="標楷體" w:hint="eastAsia"/>
              </w:rPr>
              <w:t>發展</w:t>
            </w:r>
          </w:p>
        </w:tc>
        <w:tc>
          <w:tcPr>
            <w:tcW w:w="2725" w:type="pct"/>
            <w:tcBorders>
              <w:top w:val="outset" w:sz="6" w:space="0" w:color="000000"/>
              <w:left w:val="outset" w:sz="6" w:space="0" w:color="000000"/>
              <w:bottom w:val="outset" w:sz="6" w:space="0" w:color="000000"/>
              <w:right w:val="outset" w:sz="6" w:space="0" w:color="000000"/>
            </w:tcBorders>
            <w:vAlign w:val="center"/>
            <w:hideMark/>
          </w:tcPr>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一、住商節能決策支援：國內外節能資訊蒐集、能源消費趨勢研析、規劃中長程節能減碳執行策略。</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二、能源查核輔導管理：維護服務業查核申報系統、臨場查核能源查核制度及節能目標。</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三、住商節能技術輔導：臨場節能診斷，協助建立節能計畫及發掘節能潛力，追蹤分析改善成效。</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四、節能規定宣導檢查：協助及結合地方政府實施3項節能規定宣導檢（複）查業務，減少夏季空調用電。</w:t>
            </w:r>
          </w:p>
          <w:p w:rsidR="00CB74E1" w:rsidRPr="00CB74E1" w:rsidRDefault="00CB74E1" w:rsidP="00CB74E1">
            <w:pPr>
              <w:pStyle w:val="Web"/>
              <w:wordWrap w:val="0"/>
              <w:spacing w:before="0" w:beforeAutospacing="0" w:after="0" w:afterAutospacing="0" w:line="320" w:lineRule="exact"/>
              <w:ind w:left="480" w:hanging="480"/>
              <w:jc w:val="both"/>
              <w:rPr>
                <w:rFonts w:ascii="標楷體" w:eastAsia="標楷體" w:hAnsi="標楷體"/>
              </w:rPr>
            </w:pPr>
            <w:r w:rsidRPr="00CB74E1">
              <w:rPr>
                <w:rFonts w:ascii="標楷體" w:eastAsia="標楷體" w:hAnsi="標楷體" w:hint="eastAsia"/>
              </w:rPr>
              <w:t>五、輔導企業自願節能：培育及協助集團企業自願節能，推動落實節能目標及展現企業社會責任。</w:t>
            </w:r>
          </w:p>
        </w:tc>
      </w:tr>
    </w:tbl>
    <w:p w:rsidR="00CB74E1" w:rsidRPr="00CB74E1" w:rsidRDefault="00CB74E1" w:rsidP="00CB74E1">
      <w:pPr>
        <w:pStyle w:val="a7"/>
        <w:spacing w:line="300" w:lineRule="exact"/>
        <w:ind w:left="1083" w:right="-329" w:hanging="1321"/>
        <w:rPr>
          <w:rFonts w:ascii="標楷體" w:hAnsi="標楷體" w:hint="eastAsia"/>
        </w:rPr>
      </w:pPr>
    </w:p>
    <w:sectPr w:rsidR="00CB74E1" w:rsidRPr="00CB74E1" w:rsidSect="009576EF">
      <w:footerReference w:type="default" r:id="rId8"/>
      <w:pgSz w:w="11907" w:h="16840" w:code="9"/>
      <w:pgMar w:top="1134" w:right="1440" w:bottom="1134" w:left="1446"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68" w:rsidRDefault="00992668">
      <w:r>
        <w:separator/>
      </w:r>
    </w:p>
  </w:endnote>
  <w:endnote w:type="continuationSeparator" w:id="0">
    <w:p w:rsidR="00992668" w:rsidRDefault="0099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script"/>
    <w:pitch w:val="fixed"/>
    <w:sig w:usb0="80000001" w:usb1="28091800" w:usb2="00000016"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5B" w:rsidRDefault="00B40F5B" w:rsidP="00385D67">
    <w:pPr>
      <w:pStyle w:val="a4"/>
      <w:jc w:val="center"/>
    </w:pPr>
    <w:r>
      <w:fldChar w:fldCharType="begin"/>
    </w:r>
    <w:r>
      <w:instrText>PAGE   \* MERGEFORMAT</w:instrText>
    </w:r>
    <w:r>
      <w:fldChar w:fldCharType="separate"/>
    </w:r>
    <w:r w:rsidR="00111FCA" w:rsidRPr="00111FCA">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68" w:rsidRDefault="00992668">
      <w:r>
        <w:separator/>
      </w:r>
    </w:p>
  </w:footnote>
  <w:footnote w:type="continuationSeparator" w:id="0">
    <w:p w:rsidR="00992668" w:rsidRDefault="00992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072"/>
    <w:multiLevelType w:val="hybridMultilevel"/>
    <w:tmpl w:val="B808A830"/>
    <w:lvl w:ilvl="0" w:tplc="CC58C968">
      <w:start w:val="1"/>
      <w:numFmt w:val="lowerLetter"/>
      <w:lvlText w:val="%1."/>
      <w:lvlJc w:val="left"/>
      <w:pPr>
        <w:ind w:left="108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6FB06D3"/>
    <w:multiLevelType w:val="hybridMultilevel"/>
    <w:tmpl w:val="660A2802"/>
    <w:lvl w:ilvl="0" w:tplc="E5325576">
      <w:start w:val="1"/>
      <w:numFmt w:val="decimal"/>
      <w:lvlText w:val="%1."/>
      <w:lvlJc w:val="left"/>
      <w:pPr>
        <w:ind w:left="480" w:hanging="480"/>
      </w:pPr>
    </w:lvl>
    <w:lvl w:ilvl="1" w:tplc="1076E750">
      <w:start w:val="1"/>
      <w:numFmt w:val="decimal"/>
      <w:lvlText w:val="(%2)"/>
      <w:lvlJc w:val="left"/>
      <w:pPr>
        <w:ind w:left="840" w:hanging="36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70F70D9"/>
    <w:multiLevelType w:val="hybridMultilevel"/>
    <w:tmpl w:val="CA5CDBB4"/>
    <w:lvl w:ilvl="0" w:tplc="BAD8654C">
      <w:start w:val="1"/>
      <w:numFmt w:val="decimal"/>
      <w:lvlText w:val="(%1)"/>
      <w:lvlJc w:val="left"/>
      <w:pPr>
        <w:ind w:left="365" w:hanging="360"/>
      </w:pPr>
      <w:rPr>
        <w:rFonts w:hint="default"/>
      </w:rPr>
    </w:lvl>
    <w:lvl w:ilvl="1" w:tplc="0706B20E">
      <w:start w:val="1"/>
      <w:numFmt w:val="taiwaneseCountingThousand"/>
      <w:lvlText w:val="(%2)"/>
      <w:lvlJc w:val="left"/>
      <w:pPr>
        <w:tabs>
          <w:tab w:val="num" w:pos="1005"/>
        </w:tabs>
        <w:ind w:left="100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AE30E8"/>
    <w:multiLevelType w:val="hybridMultilevel"/>
    <w:tmpl w:val="CF3E2728"/>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47B12"/>
    <w:multiLevelType w:val="hybridMultilevel"/>
    <w:tmpl w:val="6E8C94B2"/>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E5350B"/>
    <w:multiLevelType w:val="hybridMultilevel"/>
    <w:tmpl w:val="40EE57A8"/>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B06F86"/>
    <w:multiLevelType w:val="hybridMultilevel"/>
    <w:tmpl w:val="5AC2513E"/>
    <w:lvl w:ilvl="0" w:tplc="14D200E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D310C0"/>
    <w:multiLevelType w:val="hybridMultilevel"/>
    <w:tmpl w:val="F6907FBC"/>
    <w:lvl w:ilvl="0" w:tplc="7A50D5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32B15E9"/>
    <w:multiLevelType w:val="hybridMultilevel"/>
    <w:tmpl w:val="82208E64"/>
    <w:lvl w:ilvl="0" w:tplc="8BFE1CBC">
      <w:start w:val="1"/>
      <w:numFmt w:val="decimal"/>
      <w:lvlText w:val="(%1)"/>
      <w:lvlJc w:val="left"/>
      <w:pPr>
        <w:ind w:left="535" w:hanging="480"/>
      </w:pPr>
      <w:rPr>
        <w:rFonts w:hint="eastAsia"/>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9">
    <w:nsid w:val="19B26BF5"/>
    <w:multiLevelType w:val="hybridMultilevel"/>
    <w:tmpl w:val="3438C5B0"/>
    <w:lvl w:ilvl="0" w:tplc="ACCE0DC8">
      <w:start w:val="1"/>
      <w:numFmt w:val="decimal"/>
      <w:lvlText w:val="(%1)"/>
      <w:lvlJc w:val="left"/>
      <w:pPr>
        <w:ind w:left="480" w:hanging="480"/>
      </w:pPr>
      <w:rPr>
        <w:rFonts w:hint="eastAsia"/>
        <w:color w:val="auto"/>
      </w:rPr>
    </w:lvl>
    <w:lvl w:ilvl="1" w:tplc="04D00DE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8B4473"/>
    <w:multiLevelType w:val="hybridMultilevel"/>
    <w:tmpl w:val="93A6F58C"/>
    <w:lvl w:ilvl="0" w:tplc="C576CBB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234945"/>
    <w:multiLevelType w:val="hybridMultilevel"/>
    <w:tmpl w:val="3CF260D0"/>
    <w:lvl w:ilvl="0" w:tplc="7158B64A">
      <w:start w:val="1"/>
      <w:numFmt w:val="upperLetter"/>
      <w:lvlText w:val="%1."/>
      <w:lvlJc w:val="left"/>
      <w:pPr>
        <w:ind w:left="365" w:hanging="360"/>
      </w:pPr>
      <w:rPr>
        <w:rFonts w:ascii="Times New Roman" w:eastAsia="標楷體" w:hAnsi="Times New Roman"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E0792D"/>
    <w:multiLevelType w:val="hybridMultilevel"/>
    <w:tmpl w:val="235C07DA"/>
    <w:lvl w:ilvl="0" w:tplc="C9EAAF5E">
      <w:start w:val="1"/>
      <w:numFmt w:val="taiwaneseCountingThousand"/>
      <w:lvlText w:val="(%1)"/>
      <w:lvlJc w:val="left"/>
      <w:pPr>
        <w:tabs>
          <w:tab w:val="num" w:pos="960"/>
        </w:tabs>
        <w:ind w:left="960" w:hanging="720"/>
      </w:pPr>
      <w:rPr>
        <w:rFonts w:hint="default"/>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211E3235"/>
    <w:multiLevelType w:val="hybridMultilevel"/>
    <w:tmpl w:val="C7442ADE"/>
    <w:lvl w:ilvl="0" w:tplc="C70EECF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70B120D"/>
    <w:multiLevelType w:val="hybridMultilevel"/>
    <w:tmpl w:val="24FE8D58"/>
    <w:lvl w:ilvl="0" w:tplc="D636905A">
      <w:start w:val="1"/>
      <w:numFmt w:val="lowerLetter"/>
      <w:lvlText w:val="%1."/>
      <w:lvlJc w:val="left"/>
      <w:pPr>
        <w:ind w:left="1080" w:hanging="360"/>
      </w:pPr>
      <w:rPr>
        <w:rFonts w:hint="default"/>
        <w:color w:val="auto"/>
      </w:rPr>
    </w:lvl>
    <w:lvl w:ilvl="1" w:tplc="8BFE1CB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DD2086"/>
    <w:multiLevelType w:val="hybridMultilevel"/>
    <w:tmpl w:val="5FF012A0"/>
    <w:lvl w:ilvl="0" w:tplc="D50A6F06">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A776F7"/>
    <w:multiLevelType w:val="hybridMultilevel"/>
    <w:tmpl w:val="6AEEA1EE"/>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C0362A"/>
    <w:multiLevelType w:val="hybridMultilevel"/>
    <w:tmpl w:val="5952261E"/>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767520"/>
    <w:multiLevelType w:val="hybridMultilevel"/>
    <w:tmpl w:val="9ADA2A08"/>
    <w:lvl w:ilvl="0" w:tplc="DEB2016E">
      <w:start w:val="1"/>
      <w:numFmt w:val="decimal"/>
      <w:lvlText w:val="(%1)"/>
      <w:lvlJc w:val="left"/>
      <w:pPr>
        <w:ind w:left="360" w:hanging="36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44F64E2A"/>
    <w:multiLevelType w:val="hybridMultilevel"/>
    <w:tmpl w:val="10C6EFDA"/>
    <w:lvl w:ilvl="0" w:tplc="3184F106">
      <w:start w:val="1"/>
      <w:numFmt w:val="upperLetter"/>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4832641B"/>
    <w:multiLevelType w:val="hybridMultilevel"/>
    <w:tmpl w:val="107CCD6C"/>
    <w:lvl w:ilvl="0" w:tplc="4342CC30">
      <w:start w:val="1"/>
      <w:numFmt w:val="decimal"/>
      <w:lvlText w:val="(%1)"/>
      <w:lvlJc w:val="left"/>
      <w:pPr>
        <w:ind w:left="720" w:hanging="720"/>
      </w:pPr>
      <w:rPr>
        <w:rFonts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BEC55BF"/>
    <w:multiLevelType w:val="hybridMultilevel"/>
    <w:tmpl w:val="CC2A0A2A"/>
    <w:lvl w:ilvl="0" w:tplc="4F34F27E">
      <w:start w:val="1"/>
      <w:numFmt w:val="decimal"/>
      <w:lvlText w:val="%1."/>
      <w:lvlJc w:val="left"/>
      <w:pPr>
        <w:ind w:left="360" w:hanging="360"/>
      </w:pPr>
      <w:rPr>
        <w:color w:val="0070C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C8C5C2A"/>
    <w:multiLevelType w:val="hybridMultilevel"/>
    <w:tmpl w:val="0268CBD0"/>
    <w:lvl w:ilvl="0" w:tplc="3CEEFD2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517B1856"/>
    <w:multiLevelType w:val="hybridMultilevel"/>
    <w:tmpl w:val="0FF456FE"/>
    <w:lvl w:ilvl="0" w:tplc="B2EA72B6">
      <w:start w:val="1"/>
      <w:numFmt w:val="lowerLetter"/>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941EB8"/>
    <w:multiLevelType w:val="hybridMultilevel"/>
    <w:tmpl w:val="5FA476D2"/>
    <w:lvl w:ilvl="0" w:tplc="A014BB8C">
      <w:start w:val="1"/>
      <w:numFmt w:val="decimal"/>
      <w:lvlText w:val="(%1)"/>
      <w:lvlJc w:val="left"/>
      <w:pPr>
        <w:ind w:left="763"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86272F1"/>
    <w:multiLevelType w:val="hybridMultilevel"/>
    <w:tmpl w:val="2662EA44"/>
    <w:lvl w:ilvl="0" w:tplc="FA5C1D42">
      <w:start w:val="1"/>
      <w:numFmt w:val="lowerLetter"/>
      <w:lvlText w:val="%1."/>
      <w:lvlJc w:val="left"/>
      <w:pPr>
        <w:ind w:left="1080" w:hanging="360"/>
      </w:pPr>
      <w:rPr>
        <w:color w:val="auto"/>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6">
    <w:nsid w:val="599C0AD2"/>
    <w:multiLevelType w:val="hybridMultilevel"/>
    <w:tmpl w:val="0AA0DCC6"/>
    <w:lvl w:ilvl="0" w:tplc="427E43B0">
      <w:start w:val="1"/>
      <w:numFmt w:val="lowerLetter"/>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792685"/>
    <w:multiLevelType w:val="hybridMultilevel"/>
    <w:tmpl w:val="D7241518"/>
    <w:lvl w:ilvl="0" w:tplc="667C200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622E5411"/>
    <w:multiLevelType w:val="hybridMultilevel"/>
    <w:tmpl w:val="8A32171A"/>
    <w:lvl w:ilvl="0" w:tplc="FBBABC00">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67810731"/>
    <w:multiLevelType w:val="hybridMultilevel"/>
    <w:tmpl w:val="AEBAA8B4"/>
    <w:lvl w:ilvl="0" w:tplc="E2429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D47D7F"/>
    <w:multiLevelType w:val="hybridMultilevel"/>
    <w:tmpl w:val="9A1A4432"/>
    <w:lvl w:ilvl="0" w:tplc="1076E750">
      <w:start w:val="1"/>
      <w:numFmt w:val="decimal"/>
      <w:lvlText w:val="(%1)"/>
      <w:lvlJc w:val="left"/>
      <w:pPr>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0774335"/>
    <w:multiLevelType w:val="hybridMultilevel"/>
    <w:tmpl w:val="5C28CB22"/>
    <w:lvl w:ilvl="0" w:tplc="8BCEE8C6">
      <w:start w:val="1"/>
      <w:numFmt w:val="lowerLetter"/>
      <w:lvlText w:val="%1."/>
      <w:lvlJc w:val="left"/>
      <w:pPr>
        <w:ind w:left="1080" w:hanging="360"/>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71DD729D"/>
    <w:multiLevelType w:val="hybridMultilevel"/>
    <w:tmpl w:val="149C0A22"/>
    <w:lvl w:ilvl="0" w:tplc="D50A6F0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72975597"/>
    <w:multiLevelType w:val="hybridMultilevel"/>
    <w:tmpl w:val="7974D6A0"/>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7C235F"/>
    <w:multiLevelType w:val="hybridMultilevel"/>
    <w:tmpl w:val="4E2C63AC"/>
    <w:lvl w:ilvl="0" w:tplc="42FAE00C">
      <w:start w:val="1"/>
      <w:numFmt w:val="decimal"/>
      <w:lvlText w:val="(%1)"/>
      <w:lvlJc w:val="left"/>
      <w:pPr>
        <w:ind w:left="622" w:hanging="48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5">
    <w:nsid w:val="73E60DBE"/>
    <w:multiLevelType w:val="hybridMultilevel"/>
    <w:tmpl w:val="CA9C7948"/>
    <w:lvl w:ilvl="0" w:tplc="63647ED6">
      <w:start w:val="1"/>
      <w:numFmt w:val="upperLetter"/>
      <w:lvlText w:val="%1."/>
      <w:lvlJc w:val="left"/>
      <w:pPr>
        <w:tabs>
          <w:tab w:val="num" w:pos="720"/>
        </w:tabs>
        <w:ind w:left="720" w:hanging="360"/>
      </w:pPr>
      <w:rPr>
        <w:rFonts w:hint="default"/>
        <w:color w:val="auto"/>
      </w:rPr>
    </w:lvl>
    <w:lvl w:ilvl="1" w:tplc="69764F30" w:tentative="1">
      <w:start w:val="1"/>
      <w:numFmt w:val="decimal"/>
      <w:lvlText w:val="%2."/>
      <w:lvlJc w:val="left"/>
      <w:pPr>
        <w:tabs>
          <w:tab w:val="num" w:pos="1440"/>
        </w:tabs>
        <w:ind w:left="1440" w:hanging="360"/>
      </w:pPr>
    </w:lvl>
    <w:lvl w:ilvl="2" w:tplc="5E58C710" w:tentative="1">
      <w:start w:val="1"/>
      <w:numFmt w:val="decimal"/>
      <w:lvlText w:val="%3."/>
      <w:lvlJc w:val="left"/>
      <w:pPr>
        <w:tabs>
          <w:tab w:val="num" w:pos="2160"/>
        </w:tabs>
        <w:ind w:left="2160" w:hanging="360"/>
      </w:pPr>
    </w:lvl>
    <w:lvl w:ilvl="3" w:tplc="336E6B00" w:tentative="1">
      <w:start w:val="1"/>
      <w:numFmt w:val="decimal"/>
      <w:lvlText w:val="%4."/>
      <w:lvlJc w:val="left"/>
      <w:pPr>
        <w:tabs>
          <w:tab w:val="num" w:pos="2880"/>
        </w:tabs>
        <w:ind w:left="2880" w:hanging="360"/>
      </w:pPr>
    </w:lvl>
    <w:lvl w:ilvl="4" w:tplc="38E058B4" w:tentative="1">
      <w:start w:val="1"/>
      <w:numFmt w:val="decimal"/>
      <w:lvlText w:val="%5."/>
      <w:lvlJc w:val="left"/>
      <w:pPr>
        <w:tabs>
          <w:tab w:val="num" w:pos="3600"/>
        </w:tabs>
        <w:ind w:left="3600" w:hanging="360"/>
      </w:pPr>
    </w:lvl>
    <w:lvl w:ilvl="5" w:tplc="7D408470" w:tentative="1">
      <w:start w:val="1"/>
      <w:numFmt w:val="decimal"/>
      <w:lvlText w:val="%6."/>
      <w:lvlJc w:val="left"/>
      <w:pPr>
        <w:tabs>
          <w:tab w:val="num" w:pos="4320"/>
        </w:tabs>
        <w:ind w:left="4320" w:hanging="360"/>
      </w:pPr>
    </w:lvl>
    <w:lvl w:ilvl="6" w:tplc="64602552" w:tentative="1">
      <w:start w:val="1"/>
      <w:numFmt w:val="decimal"/>
      <w:lvlText w:val="%7."/>
      <w:lvlJc w:val="left"/>
      <w:pPr>
        <w:tabs>
          <w:tab w:val="num" w:pos="5040"/>
        </w:tabs>
        <w:ind w:left="5040" w:hanging="360"/>
      </w:pPr>
    </w:lvl>
    <w:lvl w:ilvl="7" w:tplc="2878CBAC" w:tentative="1">
      <w:start w:val="1"/>
      <w:numFmt w:val="decimal"/>
      <w:lvlText w:val="%8."/>
      <w:lvlJc w:val="left"/>
      <w:pPr>
        <w:tabs>
          <w:tab w:val="num" w:pos="5760"/>
        </w:tabs>
        <w:ind w:left="5760" w:hanging="360"/>
      </w:pPr>
    </w:lvl>
    <w:lvl w:ilvl="8" w:tplc="FD00757C" w:tentative="1">
      <w:start w:val="1"/>
      <w:numFmt w:val="decimal"/>
      <w:lvlText w:val="%9."/>
      <w:lvlJc w:val="left"/>
      <w:pPr>
        <w:tabs>
          <w:tab w:val="num" w:pos="6480"/>
        </w:tabs>
        <w:ind w:left="6480" w:hanging="360"/>
      </w:pPr>
    </w:lvl>
  </w:abstractNum>
  <w:abstractNum w:abstractNumId="36">
    <w:nsid w:val="74DA25FE"/>
    <w:multiLevelType w:val="hybridMultilevel"/>
    <w:tmpl w:val="89DA0170"/>
    <w:lvl w:ilvl="0" w:tplc="3800A2E6">
      <w:start w:val="1"/>
      <w:numFmt w:val="decimal"/>
      <w:lvlText w:val="(%1)"/>
      <w:lvlJc w:val="left"/>
      <w:pPr>
        <w:ind w:left="3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00C6C"/>
    <w:multiLevelType w:val="hybridMultilevel"/>
    <w:tmpl w:val="9CECA32E"/>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5B14C7"/>
    <w:multiLevelType w:val="hybridMultilevel"/>
    <w:tmpl w:val="720CB920"/>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29684A"/>
    <w:multiLevelType w:val="hybridMultilevel"/>
    <w:tmpl w:val="1E9CAB8E"/>
    <w:lvl w:ilvl="0" w:tplc="DA14BC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15"/>
  </w:num>
  <w:num w:numId="3">
    <w:abstractNumId w:val="12"/>
  </w:num>
  <w:num w:numId="4">
    <w:abstractNumId w:val="19"/>
  </w:num>
  <w:num w:numId="5">
    <w:abstractNumId w:val="36"/>
  </w:num>
  <w:num w:numId="6">
    <w:abstractNumId w:val="11"/>
  </w:num>
  <w:num w:numId="7">
    <w:abstractNumId w:val="31"/>
  </w:num>
  <w:num w:numId="8">
    <w:abstractNumId w:val="26"/>
  </w:num>
  <w:num w:numId="9">
    <w:abstractNumId w:val="23"/>
  </w:num>
  <w:num w:numId="10">
    <w:abstractNumId w:val="14"/>
  </w:num>
  <w:num w:numId="11">
    <w:abstractNumId w:val="9"/>
  </w:num>
  <w:num w:numId="12">
    <w:abstractNumId w:val="3"/>
  </w:num>
  <w:num w:numId="13">
    <w:abstractNumId w:val="37"/>
  </w:num>
  <w:num w:numId="14">
    <w:abstractNumId w:val="20"/>
  </w:num>
  <w:num w:numId="15">
    <w:abstractNumId w:val="2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5"/>
  </w:num>
  <w:num w:numId="37">
    <w:abstractNumId w:val="33"/>
  </w:num>
  <w:num w:numId="38">
    <w:abstractNumId w:val="16"/>
  </w:num>
  <w:num w:numId="39">
    <w:abstractNumId w:val="17"/>
  </w:num>
  <w:num w:numId="40">
    <w:abstractNumId w:val="10"/>
  </w:num>
  <w:num w:numId="41">
    <w:abstractNumId w:val="35"/>
  </w:num>
  <w:num w:numId="42">
    <w:abstractNumId w:val="3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6"/>
  </w:num>
  <w:num w:numId="46">
    <w:abstractNumId w:val="1"/>
  </w:num>
  <w:num w:numId="47">
    <w:abstractNumId w:val="30"/>
  </w:num>
  <w:num w:numId="4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163"/>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3.25 公分,2.2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44AB6"/>
    <w:rsid w:val="00000124"/>
    <w:rsid w:val="0000511E"/>
    <w:rsid w:val="0000752A"/>
    <w:rsid w:val="000126D4"/>
    <w:rsid w:val="000151CC"/>
    <w:rsid w:val="00032B7F"/>
    <w:rsid w:val="0003481C"/>
    <w:rsid w:val="00034E52"/>
    <w:rsid w:val="00046CF0"/>
    <w:rsid w:val="00046D48"/>
    <w:rsid w:val="000618FF"/>
    <w:rsid w:val="000655CC"/>
    <w:rsid w:val="00066000"/>
    <w:rsid w:val="000745F6"/>
    <w:rsid w:val="0007519A"/>
    <w:rsid w:val="000759A7"/>
    <w:rsid w:val="00084713"/>
    <w:rsid w:val="000852B3"/>
    <w:rsid w:val="00095B57"/>
    <w:rsid w:val="00096E98"/>
    <w:rsid w:val="000A03A8"/>
    <w:rsid w:val="000A05BE"/>
    <w:rsid w:val="000A4DBC"/>
    <w:rsid w:val="000B3470"/>
    <w:rsid w:val="000B55DA"/>
    <w:rsid w:val="000B6052"/>
    <w:rsid w:val="000C0149"/>
    <w:rsid w:val="000C157C"/>
    <w:rsid w:val="000C32A1"/>
    <w:rsid w:val="000C56EC"/>
    <w:rsid w:val="000C625A"/>
    <w:rsid w:val="000D0794"/>
    <w:rsid w:val="000D12A7"/>
    <w:rsid w:val="000D22DE"/>
    <w:rsid w:val="000D7127"/>
    <w:rsid w:val="000E1654"/>
    <w:rsid w:val="000E62C5"/>
    <w:rsid w:val="000F20F1"/>
    <w:rsid w:val="000F2970"/>
    <w:rsid w:val="000F4E21"/>
    <w:rsid w:val="00102B9C"/>
    <w:rsid w:val="00104537"/>
    <w:rsid w:val="00106CD9"/>
    <w:rsid w:val="0011007B"/>
    <w:rsid w:val="0011113D"/>
    <w:rsid w:val="00111FCA"/>
    <w:rsid w:val="00114FA1"/>
    <w:rsid w:val="0011701F"/>
    <w:rsid w:val="00121C48"/>
    <w:rsid w:val="00125905"/>
    <w:rsid w:val="0012668D"/>
    <w:rsid w:val="00137336"/>
    <w:rsid w:val="00140E41"/>
    <w:rsid w:val="0014181D"/>
    <w:rsid w:val="0014567D"/>
    <w:rsid w:val="00145753"/>
    <w:rsid w:val="00146750"/>
    <w:rsid w:val="00150C16"/>
    <w:rsid w:val="0015526B"/>
    <w:rsid w:val="00155CEE"/>
    <w:rsid w:val="0015638B"/>
    <w:rsid w:val="00173CA8"/>
    <w:rsid w:val="00176DB5"/>
    <w:rsid w:val="00182898"/>
    <w:rsid w:val="00186BDC"/>
    <w:rsid w:val="00191281"/>
    <w:rsid w:val="00191EFA"/>
    <w:rsid w:val="00192563"/>
    <w:rsid w:val="001950FE"/>
    <w:rsid w:val="00197EBE"/>
    <w:rsid w:val="001A22F6"/>
    <w:rsid w:val="001A5898"/>
    <w:rsid w:val="001B291C"/>
    <w:rsid w:val="001C14A6"/>
    <w:rsid w:val="001C3DD4"/>
    <w:rsid w:val="001D1B00"/>
    <w:rsid w:val="001D65B5"/>
    <w:rsid w:val="001E4E15"/>
    <w:rsid w:val="001E75B0"/>
    <w:rsid w:val="002002B4"/>
    <w:rsid w:val="00204F4E"/>
    <w:rsid w:val="00205015"/>
    <w:rsid w:val="00205B12"/>
    <w:rsid w:val="00206F1C"/>
    <w:rsid w:val="002076E6"/>
    <w:rsid w:val="0021671A"/>
    <w:rsid w:val="00226E2B"/>
    <w:rsid w:val="00226F54"/>
    <w:rsid w:val="00230E63"/>
    <w:rsid w:val="0023190C"/>
    <w:rsid w:val="00232F61"/>
    <w:rsid w:val="00236DB2"/>
    <w:rsid w:val="00236F34"/>
    <w:rsid w:val="00237B1A"/>
    <w:rsid w:val="002436EF"/>
    <w:rsid w:val="00245098"/>
    <w:rsid w:val="00246115"/>
    <w:rsid w:val="00247330"/>
    <w:rsid w:val="002478DE"/>
    <w:rsid w:val="00257743"/>
    <w:rsid w:val="002644BD"/>
    <w:rsid w:val="00267FF8"/>
    <w:rsid w:val="00272B0E"/>
    <w:rsid w:val="002755BF"/>
    <w:rsid w:val="00277A46"/>
    <w:rsid w:val="002805AE"/>
    <w:rsid w:val="00280720"/>
    <w:rsid w:val="002813EF"/>
    <w:rsid w:val="002849A8"/>
    <w:rsid w:val="00291A57"/>
    <w:rsid w:val="0029280A"/>
    <w:rsid w:val="002932A9"/>
    <w:rsid w:val="00294AAC"/>
    <w:rsid w:val="00297CF3"/>
    <w:rsid w:val="002A31CA"/>
    <w:rsid w:val="002A4CD9"/>
    <w:rsid w:val="002B175F"/>
    <w:rsid w:val="002B1D56"/>
    <w:rsid w:val="002B306C"/>
    <w:rsid w:val="002B34E7"/>
    <w:rsid w:val="002B5A88"/>
    <w:rsid w:val="002B69B6"/>
    <w:rsid w:val="002C3C6D"/>
    <w:rsid w:val="002C7464"/>
    <w:rsid w:val="002D2D17"/>
    <w:rsid w:val="002E0E57"/>
    <w:rsid w:val="002E1121"/>
    <w:rsid w:val="002F0847"/>
    <w:rsid w:val="002F10AA"/>
    <w:rsid w:val="002F288F"/>
    <w:rsid w:val="002F4B81"/>
    <w:rsid w:val="002F6023"/>
    <w:rsid w:val="002F770E"/>
    <w:rsid w:val="0030193F"/>
    <w:rsid w:val="0030436B"/>
    <w:rsid w:val="00304C9E"/>
    <w:rsid w:val="00314A1B"/>
    <w:rsid w:val="00314C00"/>
    <w:rsid w:val="00324B23"/>
    <w:rsid w:val="003352D2"/>
    <w:rsid w:val="00337E8A"/>
    <w:rsid w:val="00340383"/>
    <w:rsid w:val="003410BD"/>
    <w:rsid w:val="0034771B"/>
    <w:rsid w:val="00352A60"/>
    <w:rsid w:val="00352F3F"/>
    <w:rsid w:val="003533B8"/>
    <w:rsid w:val="00354C25"/>
    <w:rsid w:val="003571EA"/>
    <w:rsid w:val="00357C13"/>
    <w:rsid w:val="00381FFA"/>
    <w:rsid w:val="0038267D"/>
    <w:rsid w:val="00385D67"/>
    <w:rsid w:val="00394253"/>
    <w:rsid w:val="003A0363"/>
    <w:rsid w:val="003A4AB6"/>
    <w:rsid w:val="003A7AE6"/>
    <w:rsid w:val="003B35E8"/>
    <w:rsid w:val="003B51DF"/>
    <w:rsid w:val="003B7F50"/>
    <w:rsid w:val="003C6031"/>
    <w:rsid w:val="003D03C6"/>
    <w:rsid w:val="003D35A5"/>
    <w:rsid w:val="003D414F"/>
    <w:rsid w:val="003D479E"/>
    <w:rsid w:val="003D4CB9"/>
    <w:rsid w:val="003D738E"/>
    <w:rsid w:val="003F0C1D"/>
    <w:rsid w:val="003F19C1"/>
    <w:rsid w:val="003F1F5A"/>
    <w:rsid w:val="004011A0"/>
    <w:rsid w:val="00406C1E"/>
    <w:rsid w:val="00406C79"/>
    <w:rsid w:val="00407968"/>
    <w:rsid w:val="00415172"/>
    <w:rsid w:val="004157F1"/>
    <w:rsid w:val="00423A57"/>
    <w:rsid w:val="0042699F"/>
    <w:rsid w:val="00433C2B"/>
    <w:rsid w:val="00435AA4"/>
    <w:rsid w:val="00441812"/>
    <w:rsid w:val="004428D2"/>
    <w:rsid w:val="00442D2A"/>
    <w:rsid w:val="0045235E"/>
    <w:rsid w:val="00452FF8"/>
    <w:rsid w:val="00463C66"/>
    <w:rsid w:val="00463D8F"/>
    <w:rsid w:val="00493638"/>
    <w:rsid w:val="00496892"/>
    <w:rsid w:val="004A5715"/>
    <w:rsid w:val="004A5A2E"/>
    <w:rsid w:val="004B3358"/>
    <w:rsid w:val="004B37B7"/>
    <w:rsid w:val="004B7804"/>
    <w:rsid w:val="004C5654"/>
    <w:rsid w:val="004D0E36"/>
    <w:rsid w:val="004D43F9"/>
    <w:rsid w:val="004D62F0"/>
    <w:rsid w:val="004D7600"/>
    <w:rsid w:val="004E0443"/>
    <w:rsid w:val="004E3303"/>
    <w:rsid w:val="004E3E4D"/>
    <w:rsid w:val="004E5DF2"/>
    <w:rsid w:val="004E6E10"/>
    <w:rsid w:val="004F1C71"/>
    <w:rsid w:val="004F2061"/>
    <w:rsid w:val="004F25AE"/>
    <w:rsid w:val="0050179F"/>
    <w:rsid w:val="00501F79"/>
    <w:rsid w:val="005029E1"/>
    <w:rsid w:val="00503033"/>
    <w:rsid w:val="00503B31"/>
    <w:rsid w:val="00504161"/>
    <w:rsid w:val="005067AD"/>
    <w:rsid w:val="0051114E"/>
    <w:rsid w:val="005161E5"/>
    <w:rsid w:val="00523FE4"/>
    <w:rsid w:val="00531EEA"/>
    <w:rsid w:val="00532878"/>
    <w:rsid w:val="00534855"/>
    <w:rsid w:val="005358AD"/>
    <w:rsid w:val="00535DB6"/>
    <w:rsid w:val="00541C4C"/>
    <w:rsid w:val="0054601A"/>
    <w:rsid w:val="0055426D"/>
    <w:rsid w:val="005560D8"/>
    <w:rsid w:val="00557322"/>
    <w:rsid w:val="005648BA"/>
    <w:rsid w:val="00571982"/>
    <w:rsid w:val="00583FAE"/>
    <w:rsid w:val="005945D8"/>
    <w:rsid w:val="005A4B5F"/>
    <w:rsid w:val="005A5E00"/>
    <w:rsid w:val="005B43B5"/>
    <w:rsid w:val="005B78CF"/>
    <w:rsid w:val="005B7985"/>
    <w:rsid w:val="005C21DF"/>
    <w:rsid w:val="005C3F55"/>
    <w:rsid w:val="005D06EB"/>
    <w:rsid w:val="005D1E26"/>
    <w:rsid w:val="005D3462"/>
    <w:rsid w:val="005D47FC"/>
    <w:rsid w:val="005D719A"/>
    <w:rsid w:val="005E10A8"/>
    <w:rsid w:val="005E2954"/>
    <w:rsid w:val="005E34E9"/>
    <w:rsid w:val="005E6FFB"/>
    <w:rsid w:val="005F215C"/>
    <w:rsid w:val="0060355A"/>
    <w:rsid w:val="00605BBB"/>
    <w:rsid w:val="00606CA2"/>
    <w:rsid w:val="0061613A"/>
    <w:rsid w:val="00616F61"/>
    <w:rsid w:val="006252BF"/>
    <w:rsid w:val="00634BFB"/>
    <w:rsid w:val="00640B80"/>
    <w:rsid w:val="00644AB6"/>
    <w:rsid w:val="006451E3"/>
    <w:rsid w:val="00646591"/>
    <w:rsid w:val="006472D6"/>
    <w:rsid w:val="00652529"/>
    <w:rsid w:val="006605BF"/>
    <w:rsid w:val="00660662"/>
    <w:rsid w:val="00660DEA"/>
    <w:rsid w:val="0066436F"/>
    <w:rsid w:val="00676CFA"/>
    <w:rsid w:val="00680478"/>
    <w:rsid w:val="00685CAB"/>
    <w:rsid w:val="006901C6"/>
    <w:rsid w:val="00695AF2"/>
    <w:rsid w:val="00695C86"/>
    <w:rsid w:val="00697C90"/>
    <w:rsid w:val="006A322E"/>
    <w:rsid w:val="006A46D6"/>
    <w:rsid w:val="006B141A"/>
    <w:rsid w:val="006B3318"/>
    <w:rsid w:val="006B523B"/>
    <w:rsid w:val="006D1678"/>
    <w:rsid w:val="006D68F0"/>
    <w:rsid w:val="006E3098"/>
    <w:rsid w:val="006F1860"/>
    <w:rsid w:val="006F223C"/>
    <w:rsid w:val="006F40F9"/>
    <w:rsid w:val="0070082B"/>
    <w:rsid w:val="00703AA4"/>
    <w:rsid w:val="0070662B"/>
    <w:rsid w:val="00706933"/>
    <w:rsid w:val="007113D7"/>
    <w:rsid w:val="00714BEB"/>
    <w:rsid w:val="00717B49"/>
    <w:rsid w:val="00717B58"/>
    <w:rsid w:val="00721160"/>
    <w:rsid w:val="00721945"/>
    <w:rsid w:val="007309C3"/>
    <w:rsid w:val="00731FCA"/>
    <w:rsid w:val="00731FD4"/>
    <w:rsid w:val="00734E11"/>
    <w:rsid w:val="007407FF"/>
    <w:rsid w:val="00740895"/>
    <w:rsid w:val="00750392"/>
    <w:rsid w:val="00750A87"/>
    <w:rsid w:val="0076137A"/>
    <w:rsid w:val="00761C81"/>
    <w:rsid w:val="0076242C"/>
    <w:rsid w:val="00765C09"/>
    <w:rsid w:val="00766B89"/>
    <w:rsid w:val="00766E73"/>
    <w:rsid w:val="00790520"/>
    <w:rsid w:val="00794876"/>
    <w:rsid w:val="00794AB0"/>
    <w:rsid w:val="00795A91"/>
    <w:rsid w:val="007978F8"/>
    <w:rsid w:val="00797AC0"/>
    <w:rsid w:val="007A1016"/>
    <w:rsid w:val="007A13D9"/>
    <w:rsid w:val="007A3FA5"/>
    <w:rsid w:val="007A6BC8"/>
    <w:rsid w:val="007A7CD9"/>
    <w:rsid w:val="007B0258"/>
    <w:rsid w:val="007B1AE1"/>
    <w:rsid w:val="007B3CF9"/>
    <w:rsid w:val="007B76DE"/>
    <w:rsid w:val="007C1D71"/>
    <w:rsid w:val="007C3678"/>
    <w:rsid w:val="007C4C75"/>
    <w:rsid w:val="007C74EB"/>
    <w:rsid w:val="007C7BBD"/>
    <w:rsid w:val="007D4710"/>
    <w:rsid w:val="007E57A3"/>
    <w:rsid w:val="007F4D32"/>
    <w:rsid w:val="00804213"/>
    <w:rsid w:val="00807F0B"/>
    <w:rsid w:val="00814FE5"/>
    <w:rsid w:val="008168C6"/>
    <w:rsid w:val="00820B27"/>
    <w:rsid w:val="00824AB1"/>
    <w:rsid w:val="00830EC5"/>
    <w:rsid w:val="008330CF"/>
    <w:rsid w:val="008331E9"/>
    <w:rsid w:val="008378FF"/>
    <w:rsid w:val="00844F06"/>
    <w:rsid w:val="00845EC4"/>
    <w:rsid w:val="00850FB2"/>
    <w:rsid w:val="00854B34"/>
    <w:rsid w:val="008572F0"/>
    <w:rsid w:val="00862EA8"/>
    <w:rsid w:val="008650E8"/>
    <w:rsid w:val="0086529F"/>
    <w:rsid w:val="00876E3F"/>
    <w:rsid w:val="00880D4A"/>
    <w:rsid w:val="00883058"/>
    <w:rsid w:val="008830F1"/>
    <w:rsid w:val="00885C6B"/>
    <w:rsid w:val="00887826"/>
    <w:rsid w:val="00895F60"/>
    <w:rsid w:val="00896032"/>
    <w:rsid w:val="008962B1"/>
    <w:rsid w:val="008A26EC"/>
    <w:rsid w:val="008A3A27"/>
    <w:rsid w:val="008A773B"/>
    <w:rsid w:val="008B23A1"/>
    <w:rsid w:val="008B2E39"/>
    <w:rsid w:val="008B68DD"/>
    <w:rsid w:val="008C0027"/>
    <w:rsid w:val="008C2A4B"/>
    <w:rsid w:val="008C7541"/>
    <w:rsid w:val="008D0ABB"/>
    <w:rsid w:val="008D2DEF"/>
    <w:rsid w:val="008D4CDB"/>
    <w:rsid w:val="008D5EEB"/>
    <w:rsid w:val="008E18AC"/>
    <w:rsid w:val="008E20A8"/>
    <w:rsid w:val="008F209F"/>
    <w:rsid w:val="008F56FA"/>
    <w:rsid w:val="008F6946"/>
    <w:rsid w:val="00901292"/>
    <w:rsid w:val="00901807"/>
    <w:rsid w:val="0090580D"/>
    <w:rsid w:val="00905B5F"/>
    <w:rsid w:val="00911188"/>
    <w:rsid w:val="00914003"/>
    <w:rsid w:val="0091522F"/>
    <w:rsid w:val="00916A57"/>
    <w:rsid w:val="00916C47"/>
    <w:rsid w:val="00922833"/>
    <w:rsid w:val="00925129"/>
    <w:rsid w:val="009255C1"/>
    <w:rsid w:val="00927A94"/>
    <w:rsid w:val="00931A49"/>
    <w:rsid w:val="00932FB3"/>
    <w:rsid w:val="009357F7"/>
    <w:rsid w:val="0094430F"/>
    <w:rsid w:val="00952261"/>
    <w:rsid w:val="009538C4"/>
    <w:rsid w:val="00954F4C"/>
    <w:rsid w:val="009576EF"/>
    <w:rsid w:val="0096059F"/>
    <w:rsid w:val="00960C95"/>
    <w:rsid w:val="00961745"/>
    <w:rsid w:val="00962654"/>
    <w:rsid w:val="00962D83"/>
    <w:rsid w:val="00966155"/>
    <w:rsid w:val="009667CB"/>
    <w:rsid w:val="00971CAD"/>
    <w:rsid w:val="00981607"/>
    <w:rsid w:val="00991282"/>
    <w:rsid w:val="00992668"/>
    <w:rsid w:val="009966A5"/>
    <w:rsid w:val="009A6466"/>
    <w:rsid w:val="009B041C"/>
    <w:rsid w:val="009B2DEE"/>
    <w:rsid w:val="009B73B2"/>
    <w:rsid w:val="009C0E01"/>
    <w:rsid w:val="009C42A3"/>
    <w:rsid w:val="009C5C12"/>
    <w:rsid w:val="009D2D32"/>
    <w:rsid w:val="009E0424"/>
    <w:rsid w:val="009E4677"/>
    <w:rsid w:val="009F018C"/>
    <w:rsid w:val="009F08BB"/>
    <w:rsid w:val="009F434E"/>
    <w:rsid w:val="00A07C78"/>
    <w:rsid w:val="00A17B31"/>
    <w:rsid w:val="00A20E22"/>
    <w:rsid w:val="00A259A3"/>
    <w:rsid w:val="00A26ACD"/>
    <w:rsid w:val="00A277E2"/>
    <w:rsid w:val="00A3137A"/>
    <w:rsid w:val="00A329DC"/>
    <w:rsid w:val="00A331B2"/>
    <w:rsid w:val="00A36FF9"/>
    <w:rsid w:val="00A4605E"/>
    <w:rsid w:val="00A52B26"/>
    <w:rsid w:val="00A545B1"/>
    <w:rsid w:val="00A616EA"/>
    <w:rsid w:val="00A64606"/>
    <w:rsid w:val="00A66892"/>
    <w:rsid w:val="00A72849"/>
    <w:rsid w:val="00A72FE2"/>
    <w:rsid w:val="00A73F16"/>
    <w:rsid w:val="00A73FEE"/>
    <w:rsid w:val="00A8495A"/>
    <w:rsid w:val="00A84F42"/>
    <w:rsid w:val="00A919A4"/>
    <w:rsid w:val="00A943C0"/>
    <w:rsid w:val="00AA37CB"/>
    <w:rsid w:val="00AA4BB0"/>
    <w:rsid w:val="00AB00D6"/>
    <w:rsid w:val="00AB1679"/>
    <w:rsid w:val="00AB2B63"/>
    <w:rsid w:val="00AB6DE0"/>
    <w:rsid w:val="00AB7A49"/>
    <w:rsid w:val="00AC0127"/>
    <w:rsid w:val="00AC2066"/>
    <w:rsid w:val="00AC3AAC"/>
    <w:rsid w:val="00AC6716"/>
    <w:rsid w:val="00AD5DF7"/>
    <w:rsid w:val="00AD64D1"/>
    <w:rsid w:val="00AE2BA0"/>
    <w:rsid w:val="00AF0DFF"/>
    <w:rsid w:val="00AF2C69"/>
    <w:rsid w:val="00AF3A5D"/>
    <w:rsid w:val="00B004B0"/>
    <w:rsid w:val="00B03AB2"/>
    <w:rsid w:val="00B11BE0"/>
    <w:rsid w:val="00B11EC3"/>
    <w:rsid w:val="00B13DD7"/>
    <w:rsid w:val="00B1519F"/>
    <w:rsid w:val="00B2031B"/>
    <w:rsid w:val="00B21730"/>
    <w:rsid w:val="00B23B62"/>
    <w:rsid w:val="00B262F1"/>
    <w:rsid w:val="00B31044"/>
    <w:rsid w:val="00B3391C"/>
    <w:rsid w:val="00B34372"/>
    <w:rsid w:val="00B3472F"/>
    <w:rsid w:val="00B35A21"/>
    <w:rsid w:val="00B40F5B"/>
    <w:rsid w:val="00B42C10"/>
    <w:rsid w:val="00B50F2F"/>
    <w:rsid w:val="00B5351E"/>
    <w:rsid w:val="00B54E84"/>
    <w:rsid w:val="00B5767E"/>
    <w:rsid w:val="00B57D31"/>
    <w:rsid w:val="00B646D5"/>
    <w:rsid w:val="00B74617"/>
    <w:rsid w:val="00B7480E"/>
    <w:rsid w:val="00B779F0"/>
    <w:rsid w:val="00B81536"/>
    <w:rsid w:val="00B83979"/>
    <w:rsid w:val="00B95C3C"/>
    <w:rsid w:val="00BA17F2"/>
    <w:rsid w:val="00BB6C36"/>
    <w:rsid w:val="00BB7959"/>
    <w:rsid w:val="00BC266A"/>
    <w:rsid w:val="00BD2856"/>
    <w:rsid w:val="00BD3723"/>
    <w:rsid w:val="00BD5186"/>
    <w:rsid w:val="00BE3387"/>
    <w:rsid w:val="00BE4C7B"/>
    <w:rsid w:val="00BF3BF6"/>
    <w:rsid w:val="00C040B6"/>
    <w:rsid w:val="00C12E2D"/>
    <w:rsid w:val="00C205B8"/>
    <w:rsid w:val="00C250E8"/>
    <w:rsid w:val="00C35268"/>
    <w:rsid w:val="00C352A3"/>
    <w:rsid w:val="00C36719"/>
    <w:rsid w:val="00C400CE"/>
    <w:rsid w:val="00C4084C"/>
    <w:rsid w:val="00C4146C"/>
    <w:rsid w:val="00C50C36"/>
    <w:rsid w:val="00C576CC"/>
    <w:rsid w:val="00C67326"/>
    <w:rsid w:val="00C70611"/>
    <w:rsid w:val="00C7113A"/>
    <w:rsid w:val="00C75EF4"/>
    <w:rsid w:val="00C84533"/>
    <w:rsid w:val="00C84F5B"/>
    <w:rsid w:val="00C93DB6"/>
    <w:rsid w:val="00C949C5"/>
    <w:rsid w:val="00C97F05"/>
    <w:rsid w:val="00CA22C4"/>
    <w:rsid w:val="00CA5D81"/>
    <w:rsid w:val="00CB1E64"/>
    <w:rsid w:val="00CB290E"/>
    <w:rsid w:val="00CB42F5"/>
    <w:rsid w:val="00CB74E1"/>
    <w:rsid w:val="00CC37A8"/>
    <w:rsid w:val="00CD6A03"/>
    <w:rsid w:val="00CE4124"/>
    <w:rsid w:val="00CE7A52"/>
    <w:rsid w:val="00CF6683"/>
    <w:rsid w:val="00CF69EE"/>
    <w:rsid w:val="00D04A13"/>
    <w:rsid w:val="00D0689F"/>
    <w:rsid w:val="00D1063F"/>
    <w:rsid w:val="00D12974"/>
    <w:rsid w:val="00D20940"/>
    <w:rsid w:val="00D2387F"/>
    <w:rsid w:val="00D24BD1"/>
    <w:rsid w:val="00D322FD"/>
    <w:rsid w:val="00D34700"/>
    <w:rsid w:val="00D34975"/>
    <w:rsid w:val="00D34C97"/>
    <w:rsid w:val="00D40355"/>
    <w:rsid w:val="00D432C4"/>
    <w:rsid w:val="00D47E9B"/>
    <w:rsid w:val="00D508CA"/>
    <w:rsid w:val="00D50C49"/>
    <w:rsid w:val="00D51782"/>
    <w:rsid w:val="00D51FC6"/>
    <w:rsid w:val="00D52B8D"/>
    <w:rsid w:val="00D52E86"/>
    <w:rsid w:val="00D64CA4"/>
    <w:rsid w:val="00D6653C"/>
    <w:rsid w:val="00D706CD"/>
    <w:rsid w:val="00D71695"/>
    <w:rsid w:val="00D757B5"/>
    <w:rsid w:val="00D770D9"/>
    <w:rsid w:val="00D81EC7"/>
    <w:rsid w:val="00D85F14"/>
    <w:rsid w:val="00D863B5"/>
    <w:rsid w:val="00D91840"/>
    <w:rsid w:val="00D9281E"/>
    <w:rsid w:val="00DA0F7A"/>
    <w:rsid w:val="00DA6812"/>
    <w:rsid w:val="00DB2109"/>
    <w:rsid w:val="00DB4AAB"/>
    <w:rsid w:val="00DB74E1"/>
    <w:rsid w:val="00DB7B02"/>
    <w:rsid w:val="00DB7C16"/>
    <w:rsid w:val="00DC0E32"/>
    <w:rsid w:val="00DC1B64"/>
    <w:rsid w:val="00DC687A"/>
    <w:rsid w:val="00DE262B"/>
    <w:rsid w:val="00DE3AB1"/>
    <w:rsid w:val="00DE78C0"/>
    <w:rsid w:val="00DF03E9"/>
    <w:rsid w:val="00DF1B94"/>
    <w:rsid w:val="00E02053"/>
    <w:rsid w:val="00E108AB"/>
    <w:rsid w:val="00E11D2B"/>
    <w:rsid w:val="00E123A5"/>
    <w:rsid w:val="00E132F5"/>
    <w:rsid w:val="00E23724"/>
    <w:rsid w:val="00E257D3"/>
    <w:rsid w:val="00E26983"/>
    <w:rsid w:val="00E272EC"/>
    <w:rsid w:val="00E333D9"/>
    <w:rsid w:val="00E402D9"/>
    <w:rsid w:val="00E40D58"/>
    <w:rsid w:val="00E50CB1"/>
    <w:rsid w:val="00E51783"/>
    <w:rsid w:val="00E73057"/>
    <w:rsid w:val="00E82CFD"/>
    <w:rsid w:val="00E8385E"/>
    <w:rsid w:val="00E91925"/>
    <w:rsid w:val="00EA2AEC"/>
    <w:rsid w:val="00EA583B"/>
    <w:rsid w:val="00EA5F99"/>
    <w:rsid w:val="00EB28BC"/>
    <w:rsid w:val="00EB57B7"/>
    <w:rsid w:val="00EC28BD"/>
    <w:rsid w:val="00ED3D20"/>
    <w:rsid w:val="00ED64B1"/>
    <w:rsid w:val="00ED686E"/>
    <w:rsid w:val="00EE38BC"/>
    <w:rsid w:val="00EF02C7"/>
    <w:rsid w:val="00EF7269"/>
    <w:rsid w:val="00EF7C85"/>
    <w:rsid w:val="00F0531E"/>
    <w:rsid w:val="00F26629"/>
    <w:rsid w:val="00F35508"/>
    <w:rsid w:val="00F42B9A"/>
    <w:rsid w:val="00F4612E"/>
    <w:rsid w:val="00F46F0B"/>
    <w:rsid w:val="00F50910"/>
    <w:rsid w:val="00F546AD"/>
    <w:rsid w:val="00F57866"/>
    <w:rsid w:val="00F57CF9"/>
    <w:rsid w:val="00F57DC4"/>
    <w:rsid w:val="00F71B7B"/>
    <w:rsid w:val="00F744BF"/>
    <w:rsid w:val="00F8049D"/>
    <w:rsid w:val="00F874D8"/>
    <w:rsid w:val="00F943B5"/>
    <w:rsid w:val="00FA074B"/>
    <w:rsid w:val="00FA602E"/>
    <w:rsid w:val="00FB15A3"/>
    <w:rsid w:val="00FB52E1"/>
    <w:rsid w:val="00FB6B59"/>
    <w:rsid w:val="00FC0728"/>
    <w:rsid w:val="00FC0A72"/>
    <w:rsid w:val="00FC1697"/>
    <w:rsid w:val="00FC210C"/>
    <w:rsid w:val="00FC3EE0"/>
    <w:rsid w:val="00FC75CE"/>
    <w:rsid w:val="00FD5175"/>
    <w:rsid w:val="00FE2E40"/>
    <w:rsid w:val="00FE3A11"/>
    <w:rsid w:val="00FE515F"/>
    <w:rsid w:val="00FE6972"/>
    <w:rsid w:val="00FF4704"/>
    <w:rsid w:val="00FF4B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exac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pacing w:line="360" w:lineRule="auto"/>
    </w:pPr>
    <w:rPr>
      <w:sz w:val="16"/>
    </w:rPr>
  </w:style>
  <w:style w:type="paragraph" w:styleId="a4">
    <w:name w:val="footer"/>
    <w:basedOn w:val="a"/>
    <w:link w:val="a5"/>
    <w:uiPriority w:val="99"/>
    <w:pPr>
      <w:tabs>
        <w:tab w:val="center" w:pos="4153"/>
        <w:tab w:val="right" w:pos="8306"/>
      </w:tabs>
      <w:spacing w:line="360" w:lineRule="auto"/>
    </w:pPr>
    <w:rPr>
      <w:sz w:val="16"/>
    </w:rPr>
  </w:style>
  <w:style w:type="paragraph" w:styleId="a6">
    <w:name w:val="Body Text Indent"/>
    <w:basedOn w:val="a"/>
    <w:pPr>
      <w:spacing w:line="480" w:lineRule="atLeast"/>
      <w:ind w:left="1320" w:hanging="960"/>
      <w:textDirection w:val="lrTbV"/>
    </w:pPr>
    <w:rPr>
      <w:rFonts w:ascii="華康楷書體W5" w:eastAsia="華康楷書體W5"/>
      <w:sz w:val="32"/>
    </w:rPr>
  </w:style>
  <w:style w:type="paragraph" w:styleId="2">
    <w:name w:val="Body Text Indent 2"/>
    <w:basedOn w:val="a"/>
    <w:pPr>
      <w:spacing w:line="480" w:lineRule="atLeast"/>
      <w:ind w:left="1320" w:hanging="840"/>
      <w:textDirection w:val="lrTbV"/>
    </w:pPr>
    <w:rPr>
      <w:rFonts w:ascii="華康楷書體W5" w:eastAsia="華康楷書體W5"/>
      <w:sz w:val="32"/>
    </w:rPr>
  </w:style>
  <w:style w:type="paragraph" w:styleId="3">
    <w:name w:val="Body Text Indent 3"/>
    <w:basedOn w:val="a"/>
    <w:pPr>
      <w:spacing w:line="480" w:lineRule="atLeast"/>
      <w:ind w:left="720" w:hanging="360"/>
      <w:textDirection w:val="lrTbV"/>
    </w:pPr>
    <w:rPr>
      <w:rFonts w:eastAsia="標楷體"/>
      <w:sz w:val="32"/>
    </w:rPr>
  </w:style>
  <w:style w:type="paragraph" w:styleId="a7">
    <w:name w:val="Block Text"/>
    <w:basedOn w:val="a"/>
    <w:pPr>
      <w:adjustRightInd/>
      <w:spacing w:line="240" w:lineRule="auto"/>
      <w:ind w:left="1080" w:right="-327" w:hanging="1440"/>
      <w:textAlignment w:val="auto"/>
    </w:pPr>
    <w:rPr>
      <w:rFonts w:eastAsia="標楷體"/>
      <w:kern w:val="2"/>
    </w:rPr>
  </w:style>
  <w:style w:type="paragraph" w:customStyle="1" w:styleId="a8">
    <w:name w:val="壹目"/>
    <w:basedOn w:val="a"/>
    <w:pPr>
      <w:tabs>
        <w:tab w:val="right" w:leader="middleDot" w:pos="9000"/>
      </w:tabs>
      <w:spacing w:before="120" w:after="120" w:line="240" w:lineRule="auto"/>
      <w:outlineLvl w:val="0"/>
    </w:pPr>
    <w:rPr>
      <w:rFonts w:ascii="華康楷書體W5" w:eastAsia="華康楷書體W5" w:hAnsi="CG Times"/>
      <w:b/>
      <w:sz w:val="32"/>
    </w:rPr>
  </w:style>
  <w:style w:type="paragraph" w:styleId="a9">
    <w:name w:val="Plain Text"/>
    <w:basedOn w:val="a"/>
    <w:pPr>
      <w:adjustRightInd/>
      <w:spacing w:line="240" w:lineRule="auto"/>
      <w:textAlignment w:val="auto"/>
    </w:pPr>
    <w:rPr>
      <w:rFonts w:ascii="細明體" w:hAnsi="Courier New"/>
      <w:kern w:val="2"/>
    </w:rPr>
  </w:style>
  <w:style w:type="paragraph" w:styleId="aa">
    <w:name w:val="Body Text"/>
    <w:basedOn w:val="a"/>
    <w:pPr>
      <w:adjustRightInd/>
      <w:spacing w:line="240" w:lineRule="auto"/>
      <w:jc w:val="both"/>
      <w:textAlignment w:val="auto"/>
    </w:pPr>
    <w:rPr>
      <w:rFonts w:ascii="標楷體" w:eastAsia="標楷體" w:hAnsi="標楷體"/>
      <w:kern w:val="2"/>
    </w:rPr>
  </w:style>
  <w:style w:type="paragraph" w:customStyle="1" w:styleId="1">
    <w:name w:val="1."/>
    <w:basedOn w:val="a"/>
    <w:pPr>
      <w:spacing w:before="120" w:after="120" w:line="240" w:lineRule="auto"/>
      <w:ind w:left="1038" w:hanging="318"/>
      <w:jc w:val="both"/>
    </w:pPr>
    <w:rPr>
      <w:rFonts w:ascii="華康楷書體W5" w:eastAsia="華康楷書體W5" w:hAnsi="CG Times"/>
      <w:sz w:val="32"/>
    </w:rPr>
  </w:style>
  <w:style w:type="paragraph" w:customStyle="1" w:styleId="ab">
    <w:name w:val="(一)標"/>
    <w:basedOn w:val="a"/>
    <w:pPr>
      <w:spacing w:before="120" w:after="120" w:line="240" w:lineRule="auto"/>
      <w:ind w:left="1321" w:hanging="839"/>
      <w:jc w:val="both"/>
      <w:outlineLvl w:val="0"/>
    </w:pPr>
    <w:rPr>
      <w:rFonts w:ascii="華康楷書體W5" w:eastAsia="華康楷書體W5" w:hAnsi="CG Times"/>
      <w:b/>
      <w:sz w:val="32"/>
    </w:rPr>
  </w:style>
  <w:style w:type="paragraph" w:styleId="20">
    <w:name w:val="Body Text 2"/>
    <w:basedOn w:val="a"/>
    <w:pPr>
      <w:jc w:val="both"/>
    </w:pPr>
    <w:rPr>
      <w:rFonts w:eastAsia="標楷體"/>
      <w:color w:val="000000"/>
    </w:rPr>
  </w:style>
  <w:style w:type="paragraph" w:styleId="ac">
    <w:name w:val="Balloon Text"/>
    <w:basedOn w:val="a"/>
    <w:semiHidden/>
    <w:rsid w:val="004E5DF2"/>
    <w:rPr>
      <w:rFonts w:ascii="Arial" w:eastAsia="新細明體" w:hAnsi="Arial"/>
      <w:sz w:val="18"/>
      <w:szCs w:val="18"/>
    </w:rPr>
  </w:style>
  <w:style w:type="paragraph" w:customStyle="1" w:styleId="ad">
    <w:name w:val="方針標題"/>
    <w:rsid w:val="003D03C6"/>
    <w:pPr>
      <w:spacing w:after="50" w:line="600" w:lineRule="exact"/>
      <w:ind w:firstLine="200"/>
      <w:jc w:val="both"/>
      <w:textDirection w:val="lrTbV"/>
      <w:textAlignment w:val="center"/>
    </w:pPr>
    <w:rPr>
      <w:rFonts w:ascii="標楷體" w:eastAsia="標楷體" w:hAnsi="MS Serif"/>
      <w:b/>
      <w:sz w:val="48"/>
    </w:rPr>
  </w:style>
  <w:style w:type="paragraph" w:customStyle="1" w:styleId="ae">
    <w:name w:val="字元"/>
    <w:basedOn w:val="a"/>
    <w:rsid w:val="00E40D58"/>
    <w:pPr>
      <w:widowControl/>
      <w:adjustRightInd/>
      <w:spacing w:after="160" w:line="240" w:lineRule="exact"/>
      <w:textAlignment w:val="auto"/>
    </w:pPr>
    <w:rPr>
      <w:rFonts w:ascii="Tahoma" w:eastAsia="新細明體" w:hAnsi="Tahoma"/>
      <w:sz w:val="20"/>
      <w:lang w:eastAsia="en-US"/>
    </w:rPr>
  </w:style>
  <w:style w:type="paragraph" w:styleId="Web">
    <w:name w:val="Normal (Web)"/>
    <w:basedOn w:val="a"/>
    <w:uiPriority w:val="99"/>
    <w:rsid w:val="00E40D58"/>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Content1">
    <w:name w:val="Content_(1)"/>
    <w:basedOn w:val="a"/>
    <w:rsid w:val="0066436F"/>
    <w:pPr>
      <w:snapToGrid w:val="0"/>
      <w:spacing w:before="120" w:after="120" w:line="400" w:lineRule="exact"/>
      <w:ind w:leftChars="345" w:firstLineChars="200" w:firstLine="560"/>
      <w:jc w:val="both"/>
      <w:textAlignment w:val="auto"/>
    </w:pPr>
    <w:rPr>
      <w:rFonts w:eastAsia="標楷體"/>
      <w:sz w:val="28"/>
    </w:rPr>
  </w:style>
  <w:style w:type="character" w:customStyle="1" w:styleId="apple-converted-space">
    <w:name w:val="apple-converted-space"/>
    <w:basedOn w:val="a0"/>
    <w:rsid w:val="00616F61"/>
  </w:style>
  <w:style w:type="character" w:customStyle="1" w:styleId="usercontent">
    <w:name w:val="usercontent"/>
    <w:basedOn w:val="a0"/>
    <w:rsid w:val="00616F61"/>
  </w:style>
  <w:style w:type="character" w:customStyle="1" w:styleId="a5">
    <w:name w:val="頁尾 字元"/>
    <w:link w:val="a4"/>
    <w:uiPriority w:val="99"/>
    <w:rsid w:val="00B40F5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8394">
      <w:bodyDiv w:val="1"/>
      <w:marLeft w:val="0"/>
      <w:marRight w:val="0"/>
      <w:marTop w:val="0"/>
      <w:marBottom w:val="0"/>
      <w:divBdr>
        <w:top w:val="none" w:sz="0" w:space="0" w:color="auto"/>
        <w:left w:val="none" w:sz="0" w:space="0" w:color="auto"/>
        <w:bottom w:val="none" w:sz="0" w:space="0" w:color="auto"/>
        <w:right w:val="none" w:sz="0" w:space="0" w:color="auto"/>
      </w:divBdr>
    </w:div>
    <w:div w:id="70852213">
      <w:bodyDiv w:val="1"/>
      <w:marLeft w:val="0"/>
      <w:marRight w:val="0"/>
      <w:marTop w:val="0"/>
      <w:marBottom w:val="0"/>
      <w:divBdr>
        <w:top w:val="none" w:sz="0" w:space="0" w:color="auto"/>
        <w:left w:val="none" w:sz="0" w:space="0" w:color="auto"/>
        <w:bottom w:val="none" w:sz="0" w:space="0" w:color="auto"/>
        <w:right w:val="none" w:sz="0" w:space="0" w:color="auto"/>
      </w:divBdr>
    </w:div>
    <w:div w:id="110825595">
      <w:bodyDiv w:val="1"/>
      <w:marLeft w:val="0"/>
      <w:marRight w:val="0"/>
      <w:marTop w:val="0"/>
      <w:marBottom w:val="0"/>
      <w:divBdr>
        <w:top w:val="none" w:sz="0" w:space="0" w:color="auto"/>
        <w:left w:val="none" w:sz="0" w:space="0" w:color="auto"/>
        <w:bottom w:val="none" w:sz="0" w:space="0" w:color="auto"/>
        <w:right w:val="none" w:sz="0" w:space="0" w:color="auto"/>
      </w:divBdr>
    </w:div>
    <w:div w:id="171339967">
      <w:bodyDiv w:val="1"/>
      <w:marLeft w:val="0"/>
      <w:marRight w:val="0"/>
      <w:marTop w:val="0"/>
      <w:marBottom w:val="0"/>
      <w:divBdr>
        <w:top w:val="none" w:sz="0" w:space="0" w:color="auto"/>
        <w:left w:val="none" w:sz="0" w:space="0" w:color="auto"/>
        <w:bottom w:val="none" w:sz="0" w:space="0" w:color="auto"/>
        <w:right w:val="none" w:sz="0" w:space="0" w:color="auto"/>
      </w:divBdr>
    </w:div>
    <w:div w:id="186406695">
      <w:bodyDiv w:val="1"/>
      <w:marLeft w:val="0"/>
      <w:marRight w:val="0"/>
      <w:marTop w:val="0"/>
      <w:marBottom w:val="0"/>
      <w:divBdr>
        <w:top w:val="none" w:sz="0" w:space="0" w:color="auto"/>
        <w:left w:val="none" w:sz="0" w:space="0" w:color="auto"/>
        <w:bottom w:val="none" w:sz="0" w:space="0" w:color="auto"/>
        <w:right w:val="none" w:sz="0" w:space="0" w:color="auto"/>
      </w:divBdr>
    </w:div>
    <w:div w:id="237911436">
      <w:bodyDiv w:val="1"/>
      <w:marLeft w:val="0"/>
      <w:marRight w:val="0"/>
      <w:marTop w:val="0"/>
      <w:marBottom w:val="0"/>
      <w:divBdr>
        <w:top w:val="none" w:sz="0" w:space="0" w:color="auto"/>
        <w:left w:val="none" w:sz="0" w:space="0" w:color="auto"/>
        <w:bottom w:val="none" w:sz="0" w:space="0" w:color="auto"/>
        <w:right w:val="none" w:sz="0" w:space="0" w:color="auto"/>
      </w:divBdr>
    </w:div>
    <w:div w:id="359471709">
      <w:bodyDiv w:val="1"/>
      <w:marLeft w:val="0"/>
      <w:marRight w:val="0"/>
      <w:marTop w:val="0"/>
      <w:marBottom w:val="0"/>
      <w:divBdr>
        <w:top w:val="none" w:sz="0" w:space="0" w:color="auto"/>
        <w:left w:val="none" w:sz="0" w:space="0" w:color="auto"/>
        <w:bottom w:val="none" w:sz="0" w:space="0" w:color="auto"/>
        <w:right w:val="none" w:sz="0" w:space="0" w:color="auto"/>
      </w:divBdr>
    </w:div>
    <w:div w:id="411584971">
      <w:bodyDiv w:val="1"/>
      <w:marLeft w:val="0"/>
      <w:marRight w:val="0"/>
      <w:marTop w:val="0"/>
      <w:marBottom w:val="0"/>
      <w:divBdr>
        <w:top w:val="none" w:sz="0" w:space="0" w:color="auto"/>
        <w:left w:val="none" w:sz="0" w:space="0" w:color="auto"/>
        <w:bottom w:val="none" w:sz="0" w:space="0" w:color="auto"/>
        <w:right w:val="none" w:sz="0" w:space="0" w:color="auto"/>
      </w:divBdr>
    </w:div>
    <w:div w:id="432482342">
      <w:bodyDiv w:val="1"/>
      <w:marLeft w:val="0"/>
      <w:marRight w:val="0"/>
      <w:marTop w:val="0"/>
      <w:marBottom w:val="0"/>
      <w:divBdr>
        <w:top w:val="none" w:sz="0" w:space="0" w:color="auto"/>
        <w:left w:val="none" w:sz="0" w:space="0" w:color="auto"/>
        <w:bottom w:val="none" w:sz="0" w:space="0" w:color="auto"/>
        <w:right w:val="none" w:sz="0" w:space="0" w:color="auto"/>
      </w:divBdr>
    </w:div>
    <w:div w:id="465587572">
      <w:bodyDiv w:val="1"/>
      <w:marLeft w:val="0"/>
      <w:marRight w:val="0"/>
      <w:marTop w:val="0"/>
      <w:marBottom w:val="0"/>
      <w:divBdr>
        <w:top w:val="none" w:sz="0" w:space="0" w:color="auto"/>
        <w:left w:val="none" w:sz="0" w:space="0" w:color="auto"/>
        <w:bottom w:val="none" w:sz="0" w:space="0" w:color="auto"/>
        <w:right w:val="none" w:sz="0" w:space="0" w:color="auto"/>
      </w:divBdr>
    </w:div>
    <w:div w:id="491874975">
      <w:bodyDiv w:val="1"/>
      <w:marLeft w:val="0"/>
      <w:marRight w:val="0"/>
      <w:marTop w:val="0"/>
      <w:marBottom w:val="0"/>
      <w:divBdr>
        <w:top w:val="none" w:sz="0" w:space="0" w:color="auto"/>
        <w:left w:val="none" w:sz="0" w:space="0" w:color="auto"/>
        <w:bottom w:val="none" w:sz="0" w:space="0" w:color="auto"/>
        <w:right w:val="none" w:sz="0" w:space="0" w:color="auto"/>
      </w:divBdr>
    </w:div>
    <w:div w:id="596138369">
      <w:bodyDiv w:val="1"/>
      <w:marLeft w:val="0"/>
      <w:marRight w:val="0"/>
      <w:marTop w:val="0"/>
      <w:marBottom w:val="0"/>
      <w:divBdr>
        <w:top w:val="none" w:sz="0" w:space="0" w:color="auto"/>
        <w:left w:val="none" w:sz="0" w:space="0" w:color="auto"/>
        <w:bottom w:val="none" w:sz="0" w:space="0" w:color="auto"/>
        <w:right w:val="none" w:sz="0" w:space="0" w:color="auto"/>
      </w:divBdr>
    </w:div>
    <w:div w:id="620651669">
      <w:bodyDiv w:val="1"/>
      <w:marLeft w:val="0"/>
      <w:marRight w:val="0"/>
      <w:marTop w:val="0"/>
      <w:marBottom w:val="0"/>
      <w:divBdr>
        <w:top w:val="none" w:sz="0" w:space="0" w:color="auto"/>
        <w:left w:val="none" w:sz="0" w:space="0" w:color="auto"/>
        <w:bottom w:val="none" w:sz="0" w:space="0" w:color="auto"/>
        <w:right w:val="none" w:sz="0" w:space="0" w:color="auto"/>
      </w:divBdr>
    </w:div>
    <w:div w:id="624970591">
      <w:bodyDiv w:val="1"/>
      <w:marLeft w:val="0"/>
      <w:marRight w:val="0"/>
      <w:marTop w:val="0"/>
      <w:marBottom w:val="0"/>
      <w:divBdr>
        <w:top w:val="none" w:sz="0" w:space="0" w:color="auto"/>
        <w:left w:val="none" w:sz="0" w:space="0" w:color="auto"/>
        <w:bottom w:val="none" w:sz="0" w:space="0" w:color="auto"/>
        <w:right w:val="none" w:sz="0" w:space="0" w:color="auto"/>
      </w:divBdr>
    </w:div>
    <w:div w:id="633410740">
      <w:bodyDiv w:val="1"/>
      <w:marLeft w:val="0"/>
      <w:marRight w:val="0"/>
      <w:marTop w:val="0"/>
      <w:marBottom w:val="0"/>
      <w:divBdr>
        <w:top w:val="none" w:sz="0" w:space="0" w:color="auto"/>
        <w:left w:val="none" w:sz="0" w:space="0" w:color="auto"/>
        <w:bottom w:val="none" w:sz="0" w:space="0" w:color="auto"/>
        <w:right w:val="none" w:sz="0" w:space="0" w:color="auto"/>
      </w:divBdr>
    </w:div>
    <w:div w:id="675301203">
      <w:bodyDiv w:val="1"/>
      <w:marLeft w:val="0"/>
      <w:marRight w:val="0"/>
      <w:marTop w:val="0"/>
      <w:marBottom w:val="0"/>
      <w:divBdr>
        <w:top w:val="none" w:sz="0" w:space="0" w:color="auto"/>
        <w:left w:val="none" w:sz="0" w:space="0" w:color="auto"/>
        <w:bottom w:val="none" w:sz="0" w:space="0" w:color="auto"/>
        <w:right w:val="none" w:sz="0" w:space="0" w:color="auto"/>
      </w:divBdr>
    </w:div>
    <w:div w:id="828866142">
      <w:bodyDiv w:val="1"/>
      <w:marLeft w:val="0"/>
      <w:marRight w:val="0"/>
      <w:marTop w:val="0"/>
      <w:marBottom w:val="0"/>
      <w:divBdr>
        <w:top w:val="none" w:sz="0" w:space="0" w:color="auto"/>
        <w:left w:val="none" w:sz="0" w:space="0" w:color="auto"/>
        <w:bottom w:val="none" w:sz="0" w:space="0" w:color="auto"/>
        <w:right w:val="none" w:sz="0" w:space="0" w:color="auto"/>
      </w:divBdr>
    </w:div>
    <w:div w:id="848759271">
      <w:bodyDiv w:val="1"/>
      <w:marLeft w:val="0"/>
      <w:marRight w:val="0"/>
      <w:marTop w:val="0"/>
      <w:marBottom w:val="0"/>
      <w:divBdr>
        <w:top w:val="none" w:sz="0" w:space="0" w:color="auto"/>
        <w:left w:val="none" w:sz="0" w:space="0" w:color="auto"/>
        <w:bottom w:val="none" w:sz="0" w:space="0" w:color="auto"/>
        <w:right w:val="none" w:sz="0" w:space="0" w:color="auto"/>
      </w:divBdr>
    </w:div>
    <w:div w:id="909269558">
      <w:bodyDiv w:val="1"/>
      <w:marLeft w:val="0"/>
      <w:marRight w:val="0"/>
      <w:marTop w:val="0"/>
      <w:marBottom w:val="0"/>
      <w:divBdr>
        <w:top w:val="none" w:sz="0" w:space="0" w:color="auto"/>
        <w:left w:val="none" w:sz="0" w:space="0" w:color="auto"/>
        <w:bottom w:val="none" w:sz="0" w:space="0" w:color="auto"/>
        <w:right w:val="none" w:sz="0" w:space="0" w:color="auto"/>
      </w:divBdr>
    </w:div>
    <w:div w:id="931352402">
      <w:bodyDiv w:val="1"/>
      <w:marLeft w:val="0"/>
      <w:marRight w:val="0"/>
      <w:marTop w:val="0"/>
      <w:marBottom w:val="0"/>
      <w:divBdr>
        <w:top w:val="none" w:sz="0" w:space="0" w:color="auto"/>
        <w:left w:val="none" w:sz="0" w:space="0" w:color="auto"/>
        <w:bottom w:val="none" w:sz="0" w:space="0" w:color="auto"/>
        <w:right w:val="none" w:sz="0" w:space="0" w:color="auto"/>
      </w:divBdr>
    </w:div>
    <w:div w:id="1010333542">
      <w:bodyDiv w:val="1"/>
      <w:marLeft w:val="0"/>
      <w:marRight w:val="0"/>
      <w:marTop w:val="0"/>
      <w:marBottom w:val="0"/>
      <w:divBdr>
        <w:top w:val="none" w:sz="0" w:space="0" w:color="auto"/>
        <w:left w:val="none" w:sz="0" w:space="0" w:color="auto"/>
        <w:bottom w:val="none" w:sz="0" w:space="0" w:color="auto"/>
        <w:right w:val="none" w:sz="0" w:space="0" w:color="auto"/>
      </w:divBdr>
    </w:div>
    <w:div w:id="1026515595">
      <w:bodyDiv w:val="1"/>
      <w:marLeft w:val="0"/>
      <w:marRight w:val="0"/>
      <w:marTop w:val="0"/>
      <w:marBottom w:val="0"/>
      <w:divBdr>
        <w:top w:val="none" w:sz="0" w:space="0" w:color="auto"/>
        <w:left w:val="none" w:sz="0" w:space="0" w:color="auto"/>
        <w:bottom w:val="none" w:sz="0" w:space="0" w:color="auto"/>
        <w:right w:val="none" w:sz="0" w:space="0" w:color="auto"/>
      </w:divBdr>
    </w:div>
    <w:div w:id="1039017232">
      <w:bodyDiv w:val="1"/>
      <w:marLeft w:val="0"/>
      <w:marRight w:val="0"/>
      <w:marTop w:val="0"/>
      <w:marBottom w:val="0"/>
      <w:divBdr>
        <w:top w:val="none" w:sz="0" w:space="0" w:color="auto"/>
        <w:left w:val="none" w:sz="0" w:space="0" w:color="auto"/>
        <w:bottom w:val="none" w:sz="0" w:space="0" w:color="auto"/>
        <w:right w:val="none" w:sz="0" w:space="0" w:color="auto"/>
      </w:divBdr>
    </w:div>
    <w:div w:id="1074428949">
      <w:bodyDiv w:val="1"/>
      <w:marLeft w:val="0"/>
      <w:marRight w:val="0"/>
      <w:marTop w:val="0"/>
      <w:marBottom w:val="0"/>
      <w:divBdr>
        <w:top w:val="none" w:sz="0" w:space="0" w:color="auto"/>
        <w:left w:val="none" w:sz="0" w:space="0" w:color="auto"/>
        <w:bottom w:val="none" w:sz="0" w:space="0" w:color="auto"/>
        <w:right w:val="none" w:sz="0" w:space="0" w:color="auto"/>
      </w:divBdr>
    </w:div>
    <w:div w:id="1094058172">
      <w:bodyDiv w:val="1"/>
      <w:marLeft w:val="0"/>
      <w:marRight w:val="0"/>
      <w:marTop w:val="0"/>
      <w:marBottom w:val="0"/>
      <w:divBdr>
        <w:top w:val="none" w:sz="0" w:space="0" w:color="auto"/>
        <w:left w:val="none" w:sz="0" w:space="0" w:color="auto"/>
        <w:bottom w:val="none" w:sz="0" w:space="0" w:color="auto"/>
        <w:right w:val="none" w:sz="0" w:space="0" w:color="auto"/>
      </w:divBdr>
    </w:div>
    <w:div w:id="1182475076">
      <w:bodyDiv w:val="1"/>
      <w:marLeft w:val="0"/>
      <w:marRight w:val="0"/>
      <w:marTop w:val="0"/>
      <w:marBottom w:val="0"/>
      <w:divBdr>
        <w:top w:val="none" w:sz="0" w:space="0" w:color="auto"/>
        <w:left w:val="none" w:sz="0" w:space="0" w:color="auto"/>
        <w:bottom w:val="none" w:sz="0" w:space="0" w:color="auto"/>
        <w:right w:val="none" w:sz="0" w:space="0" w:color="auto"/>
      </w:divBdr>
    </w:div>
    <w:div w:id="1200627458">
      <w:bodyDiv w:val="1"/>
      <w:marLeft w:val="0"/>
      <w:marRight w:val="0"/>
      <w:marTop w:val="0"/>
      <w:marBottom w:val="0"/>
      <w:divBdr>
        <w:top w:val="none" w:sz="0" w:space="0" w:color="auto"/>
        <w:left w:val="none" w:sz="0" w:space="0" w:color="auto"/>
        <w:bottom w:val="none" w:sz="0" w:space="0" w:color="auto"/>
        <w:right w:val="none" w:sz="0" w:space="0" w:color="auto"/>
      </w:divBdr>
    </w:div>
    <w:div w:id="1206481323">
      <w:bodyDiv w:val="1"/>
      <w:marLeft w:val="0"/>
      <w:marRight w:val="0"/>
      <w:marTop w:val="0"/>
      <w:marBottom w:val="0"/>
      <w:divBdr>
        <w:top w:val="none" w:sz="0" w:space="0" w:color="auto"/>
        <w:left w:val="none" w:sz="0" w:space="0" w:color="auto"/>
        <w:bottom w:val="none" w:sz="0" w:space="0" w:color="auto"/>
        <w:right w:val="none" w:sz="0" w:space="0" w:color="auto"/>
      </w:divBdr>
    </w:div>
    <w:div w:id="1234048160">
      <w:bodyDiv w:val="1"/>
      <w:marLeft w:val="0"/>
      <w:marRight w:val="0"/>
      <w:marTop w:val="0"/>
      <w:marBottom w:val="0"/>
      <w:divBdr>
        <w:top w:val="none" w:sz="0" w:space="0" w:color="auto"/>
        <w:left w:val="none" w:sz="0" w:space="0" w:color="auto"/>
        <w:bottom w:val="none" w:sz="0" w:space="0" w:color="auto"/>
        <w:right w:val="none" w:sz="0" w:space="0" w:color="auto"/>
      </w:divBdr>
    </w:div>
    <w:div w:id="1331519909">
      <w:bodyDiv w:val="1"/>
      <w:marLeft w:val="0"/>
      <w:marRight w:val="0"/>
      <w:marTop w:val="0"/>
      <w:marBottom w:val="0"/>
      <w:divBdr>
        <w:top w:val="none" w:sz="0" w:space="0" w:color="auto"/>
        <w:left w:val="none" w:sz="0" w:space="0" w:color="auto"/>
        <w:bottom w:val="none" w:sz="0" w:space="0" w:color="auto"/>
        <w:right w:val="none" w:sz="0" w:space="0" w:color="auto"/>
      </w:divBdr>
    </w:div>
    <w:div w:id="1405251062">
      <w:bodyDiv w:val="1"/>
      <w:marLeft w:val="0"/>
      <w:marRight w:val="0"/>
      <w:marTop w:val="0"/>
      <w:marBottom w:val="0"/>
      <w:divBdr>
        <w:top w:val="none" w:sz="0" w:space="0" w:color="auto"/>
        <w:left w:val="none" w:sz="0" w:space="0" w:color="auto"/>
        <w:bottom w:val="none" w:sz="0" w:space="0" w:color="auto"/>
        <w:right w:val="none" w:sz="0" w:space="0" w:color="auto"/>
      </w:divBdr>
    </w:div>
    <w:div w:id="1413812673">
      <w:bodyDiv w:val="1"/>
      <w:marLeft w:val="0"/>
      <w:marRight w:val="0"/>
      <w:marTop w:val="0"/>
      <w:marBottom w:val="0"/>
      <w:divBdr>
        <w:top w:val="none" w:sz="0" w:space="0" w:color="auto"/>
        <w:left w:val="none" w:sz="0" w:space="0" w:color="auto"/>
        <w:bottom w:val="none" w:sz="0" w:space="0" w:color="auto"/>
        <w:right w:val="none" w:sz="0" w:space="0" w:color="auto"/>
      </w:divBdr>
    </w:div>
    <w:div w:id="1454785691">
      <w:bodyDiv w:val="1"/>
      <w:marLeft w:val="0"/>
      <w:marRight w:val="0"/>
      <w:marTop w:val="0"/>
      <w:marBottom w:val="0"/>
      <w:divBdr>
        <w:top w:val="none" w:sz="0" w:space="0" w:color="auto"/>
        <w:left w:val="none" w:sz="0" w:space="0" w:color="auto"/>
        <w:bottom w:val="none" w:sz="0" w:space="0" w:color="auto"/>
        <w:right w:val="none" w:sz="0" w:space="0" w:color="auto"/>
      </w:divBdr>
    </w:div>
    <w:div w:id="1507331119">
      <w:bodyDiv w:val="1"/>
      <w:marLeft w:val="0"/>
      <w:marRight w:val="0"/>
      <w:marTop w:val="0"/>
      <w:marBottom w:val="0"/>
      <w:divBdr>
        <w:top w:val="none" w:sz="0" w:space="0" w:color="auto"/>
        <w:left w:val="none" w:sz="0" w:space="0" w:color="auto"/>
        <w:bottom w:val="none" w:sz="0" w:space="0" w:color="auto"/>
        <w:right w:val="none" w:sz="0" w:space="0" w:color="auto"/>
      </w:divBdr>
    </w:div>
    <w:div w:id="1552225455">
      <w:bodyDiv w:val="1"/>
      <w:marLeft w:val="0"/>
      <w:marRight w:val="0"/>
      <w:marTop w:val="0"/>
      <w:marBottom w:val="0"/>
      <w:divBdr>
        <w:top w:val="none" w:sz="0" w:space="0" w:color="auto"/>
        <w:left w:val="none" w:sz="0" w:space="0" w:color="auto"/>
        <w:bottom w:val="none" w:sz="0" w:space="0" w:color="auto"/>
        <w:right w:val="none" w:sz="0" w:space="0" w:color="auto"/>
      </w:divBdr>
    </w:div>
    <w:div w:id="1558543869">
      <w:bodyDiv w:val="1"/>
      <w:marLeft w:val="0"/>
      <w:marRight w:val="0"/>
      <w:marTop w:val="0"/>
      <w:marBottom w:val="0"/>
      <w:divBdr>
        <w:top w:val="none" w:sz="0" w:space="0" w:color="auto"/>
        <w:left w:val="none" w:sz="0" w:space="0" w:color="auto"/>
        <w:bottom w:val="none" w:sz="0" w:space="0" w:color="auto"/>
        <w:right w:val="none" w:sz="0" w:space="0" w:color="auto"/>
      </w:divBdr>
    </w:div>
    <w:div w:id="1580945625">
      <w:bodyDiv w:val="1"/>
      <w:marLeft w:val="0"/>
      <w:marRight w:val="0"/>
      <w:marTop w:val="0"/>
      <w:marBottom w:val="0"/>
      <w:divBdr>
        <w:top w:val="none" w:sz="0" w:space="0" w:color="auto"/>
        <w:left w:val="none" w:sz="0" w:space="0" w:color="auto"/>
        <w:bottom w:val="none" w:sz="0" w:space="0" w:color="auto"/>
        <w:right w:val="none" w:sz="0" w:space="0" w:color="auto"/>
      </w:divBdr>
    </w:div>
    <w:div w:id="1624076748">
      <w:bodyDiv w:val="1"/>
      <w:marLeft w:val="0"/>
      <w:marRight w:val="0"/>
      <w:marTop w:val="0"/>
      <w:marBottom w:val="0"/>
      <w:divBdr>
        <w:top w:val="none" w:sz="0" w:space="0" w:color="auto"/>
        <w:left w:val="none" w:sz="0" w:space="0" w:color="auto"/>
        <w:bottom w:val="none" w:sz="0" w:space="0" w:color="auto"/>
        <w:right w:val="none" w:sz="0" w:space="0" w:color="auto"/>
      </w:divBdr>
    </w:div>
    <w:div w:id="1646154257">
      <w:bodyDiv w:val="1"/>
      <w:marLeft w:val="0"/>
      <w:marRight w:val="0"/>
      <w:marTop w:val="0"/>
      <w:marBottom w:val="0"/>
      <w:divBdr>
        <w:top w:val="none" w:sz="0" w:space="0" w:color="auto"/>
        <w:left w:val="none" w:sz="0" w:space="0" w:color="auto"/>
        <w:bottom w:val="none" w:sz="0" w:space="0" w:color="auto"/>
        <w:right w:val="none" w:sz="0" w:space="0" w:color="auto"/>
      </w:divBdr>
    </w:div>
    <w:div w:id="1765572273">
      <w:bodyDiv w:val="1"/>
      <w:marLeft w:val="0"/>
      <w:marRight w:val="0"/>
      <w:marTop w:val="0"/>
      <w:marBottom w:val="0"/>
      <w:divBdr>
        <w:top w:val="none" w:sz="0" w:space="0" w:color="auto"/>
        <w:left w:val="none" w:sz="0" w:space="0" w:color="auto"/>
        <w:bottom w:val="none" w:sz="0" w:space="0" w:color="auto"/>
        <w:right w:val="none" w:sz="0" w:space="0" w:color="auto"/>
      </w:divBdr>
    </w:div>
    <w:div w:id="1768501641">
      <w:bodyDiv w:val="1"/>
      <w:marLeft w:val="0"/>
      <w:marRight w:val="0"/>
      <w:marTop w:val="0"/>
      <w:marBottom w:val="0"/>
      <w:divBdr>
        <w:top w:val="none" w:sz="0" w:space="0" w:color="auto"/>
        <w:left w:val="none" w:sz="0" w:space="0" w:color="auto"/>
        <w:bottom w:val="none" w:sz="0" w:space="0" w:color="auto"/>
        <w:right w:val="none" w:sz="0" w:space="0" w:color="auto"/>
      </w:divBdr>
    </w:div>
    <w:div w:id="1790321140">
      <w:bodyDiv w:val="1"/>
      <w:marLeft w:val="0"/>
      <w:marRight w:val="0"/>
      <w:marTop w:val="0"/>
      <w:marBottom w:val="0"/>
      <w:divBdr>
        <w:top w:val="none" w:sz="0" w:space="0" w:color="auto"/>
        <w:left w:val="none" w:sz="0" w:space="0" w:color="auto"/>
        <w:bottom w:val="none" w:sz="0" w:space="0" w:color="auto"/>
        <w:right w:val="none" w:sz="0" w:space="0" w:color="auto"/>
      </w:divBdr>
    </w:div>
    <w:div w:id="1797136913">
      <w:bodyDiv w:val="1"/>
      <w:marLeft w:val="0"/>
      <w:marRight w:val="0"/>
      <w:marTop w:val="0"/>
      <w:marBottom w:val="0"/>
      <w:divBdr>
        <w:top w:val="none" w:sz="0" w:space="0" w:color="auto"/>
        <w:left w:val="none" w:sz="0" w:space="0" w:color="auto"/>
        <w:bottom w:val="none" w:sz="0" w:space="0" w:color="auto"/>
        <w:right w:val="none" w:sz="0" w:space="0" w:color="auto"/>
      </w:divBdr>
    </w:div>
    <w:div w:id="1810396109">
      <w:bodyDiv w:val="1"/>
      <w:marLeft w:val="0"/>
      <w:marRight w:val="0"/>
      <w:marTop w:val="0"/>
      <w:marBottom w:val="0"/>
      <w:divBdr>
        <w:top w:val="none" w:sz="0" w:space="0" w:color="auto"/>
        <w:left w:val="none" w:sz="0" w:space="0" w:color="auto"/>
        <w:bottom w:val="none" w:sz="0" w:space="0" w:color="auto"/>
        <w:right w:val="none" w:sz="0" w:space="0" w:color="auto"/>
      </w:divBdr>
    </w:div>
    <w:div w:id="1823768076">
      <w:bodyDiv w:val="1"/>
      <w:marLeft w:val="0"/>
      <w:marRight w:val="0"/>
      <w:marTop w:val="0"/>
      <w:marBottom w:val="0"/>
      <w:divBdr>
        <w:top w:val="none" w:sz="0" w:space="0" w:color="auto"/>
        <w:left w:val="none" w:sz="0" w:space="0" w:color="auto"/>
        <w:bottom w:val="none" w:sz="0" w:space="0" w:color="auto"/>
        <w:right w:val="none" w:sz="0" w:space="0" w:color="auto"/>
      </w:divBdr>
    </w:div>
    <w:div w:id="1881629256">
      <w:bodyDiv w:val="1"/>
      <w:marLeft w:val="0"/>
      <w:marRight w:val="0"/>
      <w:marTop w:val="0"/>
      <w:marBottom w:val="0"/>
      <w:divBdr>
        <w:top w:val="none" w:sz="0" w:space="0" w:color="auto"/>
        <w:left w:val="none" w:sz="0" w:space="0" w:color="auto"/>
        <w:bottom w:val="none" w:sz="0" w:space="0" w:color="auto"/>
        <w:right w:val="none" w:sz="0" w:space="0" w:color="auto"/>
      </w:divBdr>
    </w:div>
    <w:div w:id="1935162119">
      <w:bodyDiv w:val="1"/>
      <w:marLeft w:val="0"/>
      <w:marRight w:val="0"/>
      <w:marTop w:val="0"/>
      <w:marBottom w:val="0"/>
      <w:divBdr>
        <w:top w:val="none" w:sz="0" w:space="0" w:color="auto"/>
        <w:left w:val="none" w:sz="0" w:space="0" w:color="auto"/>
        <w:bottom w:val="none" w:sz="0" w:space="0" w:color="auto"/>
        <w:right w:val="none" w:sz="0" w:space="0" w:color="auto"/>
      </w:divBdr>
    </w:div>
    <w:div w:id="1944217082">
      <w:bodyDiv w:val="1"/>
      <w:marLeft w:val="0"/>
      <w:marRight w:val="0"/>
      <w:marTop w:val="0"/>
      <w:marBottom w:val="0"/>
      <w:divBdr>
        <w:top w:val="none" w:sz="0" w:space="0" w:color="auto"/>
        <w:left w:val="none" w:sz="0" w:space="0" w:color="auto"/>
        <w:bottom w:val="none" w:sz="0" w:space="0" w:color="auto"/>
        <w:right w:val="none" w:sz="0" w:space="0" w:color="auto"/>
      </w:divBdr>
    </w:div>
    <w:div w:id="1993636233">
      <w:bodyDiv w:val="1"/>
      <w:marLeft w:val="0"/>
      <w:marRight w:val="0"/>
      <w:marTop w:val="0"/>
      <w:marBottom w:val="0"/>
      <w:divBdr>
        <w:top w:val="none" w:sz="0" w:space="0" w:color="auto"/>
        <w:left w:val="none" w:sz="0" w:space="0" w:color="auto"/>
        <w:bottom w:val="none" w:sz="0" w:space="0" w:color="auto"/>
        <w:right w:val="none" w:sz="0" w:space="0" w:color="auto"/>
      </w:divBdr>
    </w:div>
    <w:div w:id="20966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15DA-510B-4A02-B32C-EE9E4EED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2277</Characters>
  <Application>Microsoft Office Word</Application>
  <DocSecurity>0</DocSecurity>
  <Lines>18</Lines>
  <Paragraphs>5</Paragraphs>
  <ScaleCrop>false</ScaleCrop>
  <Company>RDEC</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行政院所屬各機關八十八年度施政計畫編審作業注意事項</dc:title>
  <dc:creator>RDEC</dc:creator>
  <cp:lastModifiedBy>黃耀瑩</cp:lastModifiedBy>
  <cp:revision>2</cp:revision>
  <cp:lastPrinted>2018-04-03T01:29:00Z</cp:lastPrinted>
  <dcterms:created xsi:type="dcterms:W3CDTF">2022-09-06T03:36:00Z</dcterms:created>
  <dcterms:modified xsi:type="dcterms:W3CDTF">2022-09-06T03:36:00Z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DocCode">
    <vt:lpwstr/>
  </property>
  <property fmtid="{D5CDD505-2E9C-101B-9397-08002B2CF9AE}" pid="4" name="DocDate">
    <vt:lpwstr/>
  </property>
  <property fmtid="{D5CDD505-2E9C-101B-9397-08002B2CF9AE}" pid="5" name="YourName">
    <vt:lpwstr>paper732</vt:lpwstr>
  </property>
</Properties>
</file>