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00" w:rsidRPr="00660E19" w:rsidRDefault="004D7600" w:rsidP="00F75DE0">
      <w:pPr>
        <w:pStyle w:val="a7"/>
        <w:spacing w:afterLines="100" w:after="240"/>
        <w:ind w:left="0" w:right="23" w:firstLine="0"/>
        <w:jc w:val="center"/>
        <w:rPr>
          <w:rFonts w:ascii="標楷體" w:hAnsi="標楷體"/>
          <w:b/>
          <w:sz w:val="36"/>
        </w:rPr>
      </w:pPr>
      <w:bookmarkStart w:id="0" w:name="_GoBack"/>
      <w:bookmarkEnd w:id="0"/>
      <w:r w:rsidRPr="00660E19">
        <w:rPr>
          <w:rFonts w:ascii="標楷體" w:hAnsi="標楷體" w:hint="eastAsia"/>
          <w:b/>
          <w:sz w:val="36"/>
        </w:rPr>
        <w:t>經濟部能源局1</w:t>
      </w:r>
      <w:r w:rsidR="00B64CE4">
        <w:rPr>
          <w:rFonts w:ascii="標楷體" w:hAnsi="標楷體" w:hint="eastAsia"/>
          <w:b/>
          <w:sz w:val="36"/>
        </w:rPr>
        <w:t>1</w:t>
      </w:r>
      <w:r w:rsidR="00090B2C">
        <w:rPr>
          <w:rFonts w:ascii="標楷體" w:hAnsi="標楷體" w:hint="eastAsia"/>
          <w:b/>
          <w:sz w:val="36"/>
        </w:rPr>
        <w:t>2</w:t>
      </w:r>
      <w:r w:rsidRPr="00660E19">
        <w:rPr>
          <w:rFonts w:ascii="標楷體" w:hAnsi="標楷體" w:hint="eastAsia"/>
          <w:b/>
          <w:sz w:val="36"/>
        </w:rPr>
        <w:t>年度施政計畫</w:t>
      </w:r>
    </w:p>
    <w:p w:rsidR="004D7600" w:rsidRPr="00660E19" w:rsidRDefault="004D7600" w:rsidP="00F75DE0">
      <w:pPr>
        <w:pStyle w:val="a7"/>
        <w:snapToGrid w:val="0"/>
        <w:spacing w:beforeLines="100" w:before="240" w:afterLines="100" w:after="240" w:line="440" w:lineRule="exact"/>
        <w:ind w:left="119" w:right="23" w:firstLine="0"/>
        <w:rPr>
          <w:rFonts w:ascii="標楷體" w:hAnsi="標楷體" w:hint="eastAsia"/>
          <w:b/>
          <w:color w:val="FF0000"/>
          <w:kern w:val="0"/>
          <w:sz w:val="32"/>
          <w:u w:val="single"/>
        </w:rPr>
      </w:pPr>
      <w:r w:rsidRPr="00660E19">
        <w:rPr>
          <w:rFonts w:ascii="標楷體" w:hAnsi="標楷體" w:hint="eastAsia"/>
          <w:b/>
          <w:color w:val="000000"/>
          <w:sz w:val="32"/>
        </w:rPr>
        <w:t>一、</w:t>
      </w:r>
      <w:r w:rsidRPr="00660E19">
        <w:rPr>
          <w:rFonts w:ascii="標楷體" w:hAnsi="標楷體" w:hint="eastAsia"/>
          <w:b/>
          <w:sz w:val="32"/>
        </w:rPr>
        <w:t>前言：</w:t>
      </w:r>
    </w:p>
    <w:p w:rsidR="00660E19" w:rsidRPr="00B333B3" w:rsidRDefault="004D7600" w:rsidP="00F75DE0">
      <w:pPr>
        <w:pStyle w:val="Web"/>
        <w:snapToGrid w:val="0"/>
        <w:spacing w:beforeLines="50" w:before="120" w:beforeAutospacing="0" w:afterLines="50" w:after="120" w:afterAutospacing="0" w:line="440" w:lineRule="exact"/>
        <w:ind w:leftChars="118" w:left="283" w:firstLineChars="177" w:firstLine="566"/>
        <w:rPr>
          <w:rFonts w:ascii="標楷體" w:eastAsia="標楷體" w:hAnsi="標楷體" w:hint="eastAsia"/>
          <w:sz w:val="32"/>
          <w:szCs w:val="32"/>
        </w:rPr>
      </w:pPr>
      <w:r w:rsidRPr="00660E19">
        <w:rPr>
          <w:rFonts w:ascii="標楷體" w:eastAsia="標楷體" w:hAnsi="標楷體" w:hint="eastAsia"/>
          <w:sz w:val="32"/>
          <w:szCs w:val="32"/>
        </w:rPr>
        <w:t>本局</w:t>
      </w:r>
      <w:r w:rsidRPr="008061D8">
        <w:rPr>
          <w:rFonts w:ascii="標楷體" w:eastAsia="標楷體" w:hAnsi="標楷體" w:hint="eastAsia"/>
          <w:sz w:val="32"/>
          <w:szCs w:val="32"/>
        </w:rPr>
        <w:t>掌理全國能源政策及相關法規擬訂事項，配合國家未來發展，以及因應</w:t>
      </w:r>
      <w:r w:rsidR="00D25D52" w:rsidRPr="008061D8">
        <w:rPr>
          <w:rFonts w:ascii="標楷體" w:eastAsia="標楷體" w:hAnsi="標楷體" w:hint="eastAsia"/>
          <w:sz w:val="32"/>
          <w:szCs w:val="32"/>
        </w:rPr>
        <w:t>日趨嚴峻</w:t>
      </w:r>
      <w:r w:rsidRPr="008061D8">
        <w:rPr>
          <w:rFonts w:ascii="標楷體" w:eastAsia="標楷體" w:hAnsi="標楷體" w:hint="eastAsia"/>
          <w:sz w:val="32"/>
          <w:szCs w:val="32"/>
        </w:rPr>
        <w:t>全球能源情勢</w:t>
      </w:r>
      <w:r w:rsidR="00D25D52">
        <w:rPr>
          <w:rFonts w:ascii="標楷體" w:eastAsia="標楷體" w:hAnsi="標楷體" w:hint="eastAsia"/>
          <w:sz w:val="32"/>
          <w:szCs w:val="32"/>
        </w:rPr>
        <w:t>，致力溫室氣體減量</w:t>
      </w:r>
      <w:r w:rsidRPr="008061D8">
        <w:rPr>
          <w:rFonts w:ascii="標楷體" w:eastAsia="標楷體" w:hAnsi="標楷體" w:hint="eastAsia"/>
          <w:sz w:val="32"/>
          <w:szCs w:val="32"/>
        </w:rPr>
        <w:t>，</w:t>
      </w:r>
      <w:r w:rsidR="008061D8" w:rsidRPr="008061D8">
        <w:rPr>
          <w:rFonts w:ascii="標楷體" w:eastAsia="標楷體" w:hAnsi="標楷體"/>
          <w:sz w:val="32"/>
          <w:szCs w:val="32"/>
        </w:rPr>
        <w:t>我國能源轉型</w:t>
      </w:r>
      <w:r w:rsidR="00D25D52">
        <w:rPr>
          <w:rFonts w:ascii="標楷體" w:eastAsia="標楷體" w:hAnsi="標楷體"/>
          <w:sz w:val="32"/>
          <w:szCs w:val="32"/>
        </w:rPr>
        <w:t>規劃</w:t>
      </w:r>
      <w:r w:rsidR="008061D8" w:rsidRPr="008061D8">
        <w:rPr>
          <w:rFonts w:ascii="標楷體" w:eastAsia="標楷體" w:hAnsi="標楷體"/>
          <w:sz w:val="32"/>
          <w:szCs w:val="32"/>
        </w:rPr>
        <w:t>以</w:t>
      </w:r>
      <w:r w:rsidR="006B3524" w:rsidRPr="008061D8">
        <w:rPr>
          <w:rFonts w:ascii="標楷體" w:eastAsia="標楷體" w:hAnsi="標楷體"/>
          <w:sz w:val="32"/>
          <w:szCs w:val="32"/>
        </w:rPr>
        <w:t>展綠、增氣、</w:t>
      </w:r>
      <w:r w:rsidR="008061D8" w:rsidRPr="008061D8">
        <w:rPr>
          <w:rFonts w:ascii="標楷體" w:eastAsia="標楷體" w:hAnsi="標楷體"/>
          <w:sz w:val="32"/>
          <w:szCs w:val="32"/>
        </w:rPr>
        <w:t>減煤、非核之潔淨能源</w:t>
      </w:r>
      <w:r w:rsidR="00D25D52">
        <w:rPr>
          <w:rFonts w:ascii="標楷體" w:eastAsia="標楷體" w:hAnsi="標楷體"/>
          <w:sz w:val="32"/>
          <w:szCs w:val="32"/>
        </w:rPr>
        <w:t>為</w:t>
      </w:r>
      <w:r w:rsidR="008061D8" w:rsidRPr="008061D8">
        <w:rPr>
          <w:rFonts w:ascii="標楷體" w:eastAsia="標楷體" w:hAnsi="標楷體"/>
          <w:sz w:val="32"/>
          <w:szCs w:val="32"/>
        </w:rPr>
        <w:t>發展</w:t>
      </w:r>
      <w:r w:rsidR="00D25D52">
        <w:rPr>
          <w:rFonts w:ascii="標楷體" w:eastAsia="標楷體" w:hAnsi="標楷體"/>
          <w:sz w:val="32"/>
          <w:szCs w:val="32"/>
        </w:rPr>
        <w:t>方</w:t>
      </w:r>
      <w:r w:rsidR="00D25D52" w:rsidRPr="00C4713D">
        <w:rPr>
          <w:rFonts w:ascii="標楷體" w:eastAsia="標楷體" w:hAnsi="標楷體"/>
          <w:sz w:val="32"/>
          <w:szCs w:val="32"/>
        </w:rPr>
        <w:t>向</w:t>
      </w:r>
      <w:r w:rsidR="008061D8" w:rsidRPr="00C4713D">
        <w:rPr>
          <w:rFonts w:ascii="標楷體" w:eastAsia="標楷體" w:hAnsi="標楷體"/>
          <w:sz w:val="32"/>
          <w:szCs w:val="32"/>
        </w:rPr>
        <w:t>，</w:t>
      </w:r>
      <w:r w:rsidR="001B5F7B" w:rsidRPr="00C4713D">
        <w:rPr>
          <w:rFonts w:ascii="標楷體" w:eastAsia="標楷體" w:hAnsi="標楷體"/>
          <w:sz w:val="32"/>
          <w:szCs w:val="32"/>
        </w:rPr>
        <w:t>全力發展新能源及再生能源</w:t>
      </w:r>
      <w:r w:rsidR="001B5F7B" w:rsidRPr="00C4713D">
        <w:rPr>
          <w:rFonts w:ascii="標楷體" w:eastAsia="標楷體" w:hAnsi="標楷體" w:hint="eastAsia"/>
          <w:sz w:val="32"/>
          <w:szCs w:val="32"/>
        </w:rPr>
        <w:t>、</w:t>
      </w:r>
      <w:r w:rsidR="00D728E4" w:rsidRPr="00C4713D">
        <w:rPr>
          <w:rFonts w:ascii="標楷體" w:eastAsia="標楷體" w:hAnsi="標楷體" w:hint="eastAsia"/>
          <w:sz w:val="32"/>
          <w:szCs w:val="32"/>
        </w:rPr>
        <w:t>布建儲能及智慧電網</w:t>
      </w:r>
      <w:r w:rsidR="001B5F7B" w:rsidRPr="00C4713D">
        <w:rPr>
          <w:rFonts w:ascii="標楷體" w:eastAsia="標楷體" w:hAnsi="標楷體" w:hint="eastAsia"/>
          <w:sz w:val="32"/>
          <w:szCs w:val="32"/>
        </w:rPr>
        <w:t>、</w:t>
      </w:r>
      <w:r w:rsidR="00D25D52" w:rsidRPr="00C4713D">
        <w:rPr>
          <w:rFonts w:ascii="標楷體" w:eastAsia="標楷體" w:hAnsi="標楷體" w:hint="eastAsia"/>
          <w:sz w:val="32"/>
          <w:szCs w:val="32"/>
        </w:rPr>
        <w:t>布局前瞻技術、</w:t>
      </w:r>
      <w:r w:rsidR="001B5F7B" w:rsidRPr="00C4713D">
        <w:rPr>
          <w:rFonts w:ascii="標楷體" w:eastAsia="標楷體" w:hAnsi="標楷體" w:hint="eastAsia"/>
          <w:sz w:val="32"/>
          <w:szCs w:val="32"/>
        </w:rPr>
        <w:t>擴大天然氣供應、</w:t>
      </w:r>
      <w:r w:rsidR="00EE06FC" w:rsidRPr="00C4713D">
        <w:rPr>
          <w:rFonts w:ascii="標楷體" w:eastAsia="標楷體" w:hAnsi="標楷體" w:hint="eastAsia"/>
          <w:sz w:val="32"/>
          <w:szCs w:val="32"/>
        </w:rPr>
        <w:t>積極推動節能</w:t>
      </w:r>
      <w:r w:rsidR="00D25D52" w:rsidRPr="00C4713D">
        <w:rPr>
          <w:rFonts w:ascii="標楷體" w:eastAsia="標楷體" w:hAnsi="標楷體" w:hint="eastAsia"/>
          <w:sz w:val="32"/>
          <w:szCs w:val="32"/>
        </w:rPr>
        <w:t>及</w:t>
      </w:r>
      <w:r w:rsidR="001B5F7B" w:rsidRPr="00C4713D">
        <w:rPr>
          <w:rFonts w:ascii="標楷體" w:eastAsia="標楷體" w:hAnsi="標楷體" w:hint="eastAsia"/>
          <w:sz w:val="32"/>
          <w:szCs w:val="32"/>
        </w:rPr>
        <w:t>提升能源效率</w:t>
      </w:r>
      <w:r w:rsidR="00D25D52" w:rsidRPr="00C4713D">
        <w:rPr>
          <w:rFonts w:ascii="標楷體" w:eastAsia="標楷體" w:hAnsi="標楷體" w:hint="eastAsia"/>
          <w:sz w:val="32"/>
          <w:szCs w:val="32"/>
        </w:rPr>
        <w:t>，</w:t>
      </w:r>
      <w:r w:rsidR="001B5F7B" w:rsidRPr="00C4713D">
        <w:rPr>
          <w:rFonts w:ascii="標楷體" w:eastAsia="標楷體" w:hAnsi="標楷體"/>
          <w:sz w:val="32"/>
          <w:szCs w:val="32"/>
        </w:rPr>
        <w:t>並落實能源先期管理，拓展能源領域國際合作，以</w:t>
      </w:r>
      <w:r w:rsidR="008061D8" w:rsidRPr="00C4713D">
        <w:rPr>
          <w:rFonts w:ascii="標楷體" w:eastAsia="標楷體" w:hAnsi="標楷體"/>
          <w:sz w:val="32"/>
          <w:szCs w:val="32"/>
        </w:rPr>
        <w:t>確保電力供應穩定，兼顧降低空污及減碳</w:t>
      </w:r>
      <w:r w:rsidR="0093546A" w:rsidRPr="00C4713D">
        <w:rPr>
          <w:rFonts w:ascii="標楷體" w:eastAsia="標楷體" w:hAnsi="標楷體"/>
          <w:sz w:val="32"/>
          <w:szCs w:val="32"/>
        </w:rPr>
        <w:t>，並</w:t>
      </w:r>
      <w:r w:rsidR="0093546A" w:rsidRPr="00C4713D">
        <w:rPr>
          <w:rFonts w:ascii="標楷體" w:eastAsia="標楷體" w:hAnsi="標楷體" w:hint="eastAsia"/>
          <w:sz w:val="32"/>
          <w:szCs w:val="32"/>
        </w:rPr>
        <w:t>逐步邁向能源部門淨零轉型</w:t>
      </w:r>
      <w:r w:rsidR="008061D8" w:rsidRPr="00C4713D">
        <w:rPr>
          <w:rFonts w:ascii="標楷體" w:eastAsia="標楷體" w:hAnsi="標楷體" w:hint="eastAsia"/>
          <w:sz w:val="32"/>
          <w:szCs w:val="32"/>
        </w:rPr>
        <w:t>。</w:t>
      </w:r>
      <w:r w:rsidRPr="00C4713D">
        <w:rPr>
          <w:rFonts w:ascii="標楷體" w:eastAsia="標楷體" w:hAnsi="標楷體" w:hint="eastAsia"/>
          <w:sz w:val="32"/>
          <w:szCs w:val="32"/>
        </w:rPr>
        <w:t>1</w:t>
      </w:r>
      <w:r w:rsidR="00B64CE4" w:rsidRPr="00C4713D">
        <w:rPr>
          <w:rFonts w:ascii="標楷體" w:eastAsia="標楷體" w:hAnsi="標楷體" w:hint="eastAsia"/>
          <w:sz w:val="32"/>
          <w:szCs w:val="32"/>
        </w:rPr>
        <w:t>1</w:t>
      </w:r>
      <w:r w:rsidR="00FC3565" w:rsidRPr="00C4713D">
        <w:rPr>
          <w:rFonts w:ascii="標楷體" w:eastAsia="標楷體" w:hAnsi="標楷體" w:hint="eastAsia"/>
          <w:sz w:val="32"/>
          <w:szCs w:val="32"/>
        </w:rPr>
        <w:t>2</w:t>
      </w:r>
      <w:r w:rsidRPr="00C4713D">
        <w:rPr>
          <w:rFonts w:ascii="標楷體" w:eastAsia="標楷體" w:hAnsi="標楷體" w:hint="eastAsia"/>
          <w:sz w:val="32"/>
          <w:szCs w:val="32"/>
        </w:rPr>
        <w:t>年度賡續「能源供應穩定安全、社會經濟發</w:t>
      </w:r>
      <w:r w:rsidRPr="00B333B3">
        <w:rPr>
          <w:rFonts w:ascii="標楷體" w:eastAsia="標楷體" w:hAnsi="標楷體" w:hint="eastAsia"/>
          <w:sz w:val="32"/>
          <w:szCs w:val="32"/>
        </w:rPr>
        <w:t>展、環境保護三贏」整體發展願景，推動各項能源</w:t>
      </w:r>
      <w:r w:rsidR="008061D8" w:rsidRPr="00B333B3">
        <w:rPr>
          <w:rFonts w:ascii="標楷體" w:eastAsia="標楷體" w:hAnsi="標楷體" w:hint="eastAsia"/>
          <w:sz w:val="32"/>
          <w:szCs w:val="32"/>
        </w:rPr>
        <w:t>轉型</w:t>
      </w:r>
      <w:r w:rsidRPr="00B333B3">
        <w:rPr>
          <w:rFonts w:ascii="標楷體" w:eastAsia="標楷體" w:hAnsi="標楷體" w:hint="eastAsia"/>
          <w:sz w:val="32"/>
          <w:szCs w:val="32"/>
        </w:rPr>
        <w:t>政策措施與工作。</w:t>
      </w:r>
    </w:p>
    <w:p w:rsidR="004D7600" w:rsidRPr="00B333B3" w:rsidRDefault="004D7600" w:rsidP="00F75DE0">
      <w:pPr>
        <w:pStyle w:val="Web"/>
        <w:snapToGrid w:val="0"/>
        <w:spacing w:beforeLines="50" w:before="120" w:beforeAutospacing="0" w:afterLines="50" w:after="120" w:afterAutospacing="0" w:line="440" w:lineRule="exact"/>
        <w:ind w:leftChars="118" w:left="283" w:firstLineChars="177" w:firstLine="566"/>
        <w:rPr>
          <w:rFonts w:ascii="標楷體" w:eastAsia="標楷體" w:hAnsi="標楷體" w:hint="eastAsia"/>
          <w:sz w:val="32"/>
          <w:szCs w:val="32"/>
        </w:rPr>
      </w:pPr>
      <w:r w:rsidRPr="00B333B3">
        <w:rPr>
          <w:rFonts w:ascii="標楷體" w:eastAsia="標楷體" w:hAnsi="標楷體" w:hint="eastAsia"/>
          <w:sz w:val="32"/>
          <w:szCs w:val="32"/>
        </w:rPr>
        <w:t>本局依據行政院1</w:t>
      </w:r>
      <w:r w:rsidR="00B64CE4" w:rsidRPr="00B333B3">
        <w:rPr>
          <w:rFonts w:ascii="標楷體" w:eastAsia="標楷體" w:hAnsi="標楷體" w:hint="eastAsia"/>
          <w:sz w:val="32"/>
          <w:szCs w:val="32"/>
        </w:rPr>
        <w:t>1</w:t>
      </w:r>
      <w:r w:rsidR="00FC3565" w:rsidRPr="00B333B3">
        <w:rPr>
          <w:rFonts w:ascii="標楷體" w:eastAsia="標楷體" w:hAnsi="標楷體" w:hint="eastAsia"/>
          <w:sz w:val="32"/>
          <w:szCs w:val="32"/>
        </w:rPr>
        <w:t>2</w:t>
      </w:r>
      <w:r w:rsidRPr="00B333B3">
        <w:rPr>
          <w:rFonts w:ascii="標楷體" w:eastAsia="標楷體" w:hAnsi="標楷體" w:hint="eastAsia"/>
          <w:sz w:val="32"/>
          <w:szCs w:val="32"/>
        </w:rPr>
        <w:t>年度施政方針，配合</w:t>
      </w:r>
      <w:r w:rsidR="00A173DB" w:rsidRPr="00B333B3">
        <w:rPr>
          <w:rFonts w:ascii="標楷體" w:eastAsia="標楷體" w:hAnsi="標楷體" w:hint="eastAsia"/>
          <w:sz w:val="32"/>
          <w:szCs w:val="32"/>
        </w:rPr>
        <w:t>核定</w:t>
      </w:r>
      <w:r w:rsidRPr="00B333B3">
        <w:rPr>
          <w:rFonts w:ascii="標楷體" w:eastAsia="標楷體" w:hAnsi="標楷體" w:hint="eastAsia"/>
          <w:sz w:val="32"/>
          <w:szCs w:val="32"/>
        </w:rPr>
        <w:t>預算額度，並針對當前社</w:t>
      </w:r>
      <w:r w:rsidR="00A173DB" w:rsidRPr="00B333B3">
        <w:rPr>
          <w:rFonts w:ascii="標楷體" w:eastAsia="標楷體" w:hAnsi="標楷體" w:hint="eastAsia"/>
          <w:sz w:val="32"/>
          <w:szCs w:val="32"/>
        </w:rPr>
        <w:t>經情勢變化</w:t>
      </w:r>
      <w:r w:rsidRPr="00B333B3">
        <w:rPr>
          <w:rFonts w:ascii="標楷體" w:eastAsia="標楷體" w:hAnsi="標楷體" w:hint="eastAsia"/>
          <w:sz w:val="32"/>
          <w:szCs w:val="32"/>
        </w:rPr>
        <w:t>及本</w:t>
      </w:r>
      <w:r w:rsidR="00A173DB" w:rsidRPr="00B333B3">
        <w:rPr>
          <w:rFonts w:ascii="標楷體" w:eastAsia="標楷體" w:hAnsi="標楷體" w:hint="eastAsia"/>
          <w:sz w:val="32"/>
          <w:szCs w:val="32"/>
        </w:rPr>
        <w:t>局</w:t>
      </w:r>
      <w:r w:rsidRPr="00B333B3">
        <w:rPr>
          <w:rFonts w:ascii="標楷體" w:eastAsia="標楷體" w:hAnsi="標楷體" w:hint="eastAsia"/>
          <w:sz w:val="32"/>
          <w:szCs w:val="32"/>
        </w:rPr>
        <w:t>未來發展需要，編定</w:t>
      </w:r>
      <w:r w:rsidR="00B64CE4" w:rsidRPr="00B333B3">
        <w:rPr>
          <w:rFonts w:ascii="標楷體" w:eastAsia="標楷體" w:hAnsi="標楷體" w:hint="eastAsia"/>
          <w:sz w:val="32"/>
          <w:szCs w:val="32"/>
        </w:rPr>
        <w:t>1</w:t>
      </w:r>
      <w:r w:rsidR="00FC3565" w:rsidRPr="00B333B3">
        <w:rPr>
          <w:rFonts w:ascii="標楷體" w:eastAsia="標楷體" w:hAnsi="標楷體" w:hint="eastAsia"/>
          <w:sz w:val="32"/>
          <w:szCs w:val="32"/>
        </w:rPr>
        <w:t>12</w:t>
      </w:r>
      <w:r w:rsidRPr="00B333B3">
        <w:rPr>
          <w:rFonts w:ascii="標楷體" w:eastAsia="標楷體" w:hAnsi="標楷體" w:hint="eastAsia"/>
          <w:sz w:val="32"/>
          <w:szCs w:val="32"/>
        </w:rPr>
        <w:t>年度施政計畫，其目標與重點如次：</w:t>
      </w:r>
    </w:p>
    <w:p w:rsidR="004D7600" w:rsidRPr="00F75DE0" w:rsidRDefault="004D7600" w:rsidP="00F75DE0">
      <w:pPr>
        <w:pStyle w:val="a7"/>
        <w:snapToGrid w:val="0"/>
        <w:spacing w:beforeLines="100" w:before="240" w:afterLines="100" w:after="240" w:line="440" w:lineRule="exact"/>
        <w:ind w:left="119" w:right="23" w:firstLine="0"/>
        <w:rPr>
          <w:rFonts w:ascii="標楷體" w:hAnsi="標楷體" w:hint="eastAsia"/>
          <w:b/>
          <w:color w:val="000000"/>
          <w:sz w:val="32"/>
        </w:rPr>
      </w:pPr>
      <w:r w:rsidRPr="00F75DE0">
        <w:rPr>
          <w:rFonts w:ascii="標楷體" w:hAnsi="標楷體" w:hint="eastAsia"/>
          <w:b/>
          <w:color w:val="000000"/>
          <w:sz w:val="32"/>
        </w:rPr>
        <w:t>二、年度策略目標：</w:t>
      </w:r>
    </w:p>
    <w:p w:rsidR="00357C13" w:rsidRPr="00AA4250" w:rsidRDefault="00EF307C" w:rsidP="009E3B7A">
      <w:pPr>
        <w:pStyle w:val="ad"/>
        <w:widowControl w:val="0"/>
        <w:numPr>
          <w:ilvl w:val="0"/>
          <w:numId w:val="1"/>
        </w:numPr>
        <w:snapToGrid w:val="0"/>
        <w:spacing w:beforeLines="50" w:before="120" w:after="0" w:line="440" w:lineRule="exact"/>
        <w:jc w:val="left"/>
        <w:rPr>
          <w:rFonts w:hAnsi="標楷體" w:hint="eastAsia"/>
          <w:b w:val="0"/>
          <w:sz w:val="32"/>
          <w:szCs w:val="32"/>
        </w:rPr>
      </w:pPr>
      <w:r>
        <w:rPr>
          <w:rFonts w:hAnsi="標楷體" w:hint="eastAsia"/>
          <w:b w:val="0"/>
          <w:sz w:val="32"/>
          <w:szCs w:val="36"/>
        </w:rPr>
        <w:t>推動能源轉型，</w:t>
      </w:r>
      <w:r w:rsidR="00357C13" w:rsidRPr="00660E19">
        <w:rPr>
          <w:rFonts w:hAnsi="標楷體" w:hint="eastAsia"/>
          <w:b w:val="0"/>
          <w:sz w:val="32"/>
          <w:szCs w:val="36"/>
        </w:rPr>
        <w:t>建構安全、效</w:t>
      </w:r>
      <w:r>
        <w:rPr>
          <w:rFonts w:hAnsi="標楷體" w:hint="eastAsia"/>
          <w:b w:val="0"/>
          <w:sz w:val="32"/>
          <w:szCs w:val="36"/>
        </w:rPr>
        <w:t>率、潔淨之能源供需體系</w:t>
      </w:r>
      <w:r w:rsidRPr="00640406">
        <w:rPr>
          <w:rFonts w:hAnsi="標楷體" w:hint="eastAsia"/>
          <w:b w:val="0"/>
          <w:color w:val="FF0000"/>
          <w:sz w:val="32"/>
          <w:szCs w:val="36"/>
        </w:rPr>
        <w:t>，</w:t>
      </w:r>
      <w:r w:rsidR="00640406" w:rsidRPr="00C4713D">
        <w:rPr>
          <w:rFonts w:hAnsi="標楷體" w:hint="eastAsia"/>
          <w:b w:val="0"/>
          <w:sz w:val="32"/>
          <w:szCs w:val="36"/>
        </w:rPr>
        <w:t>實現</w:t>
      </w:r>
      <w:r w:rsidR="003529CE" w:rsidRPr="00C4713D">
        <w:rPr>
          <w:rFonts w:hAnsi="標楷體" w:hint="eastAsia"/>
          <w:b w:val="0"/>
          <w:sz w:val="32"/>
          <w:szCs w:val="36"/>
        </w:rPr>
        <w:t>非核</w:t>
      </w:r>
      <w:r w:rsidR="003529CE" w:rsidRPr="00A173DB">
        <w:rPr>
          <w:rFonts w:hAnsi="標楷體" w:hint="eastAsia"/>
          <w:b w:val="0"/>
          <w:sz w:val="32"/>
          <w:szCs w:val="36"/>
        </w:rPr>
        <w:t>家園</w:t>
      </w:r>
      <w:r>
        <w:rPr>
          <w:rFonts w:hAnsi="標楷體" w:hint="eastAsia"/>
          <w:b w:val="0"/>
          <w:sz w:val="32"/>
          <w:szCs w:val="36"/>
        </w:rPr>
        <w:t>。</w:t>
      </w:r>
    </w:p>
    <w:p w:rsidR="00AA4250" w:rsidRPr="00C4713D" w:rsidRDefault="00AA4250" w:rsidP="00AA4250">
      <w:pPr>
        <w:pStyle w:val="ad"/>
        <w:widowControl w:val="0"/>
        <w:numPr>
          <w:ilvl w:val="0"/>
          <w:numId w:val="1"/>
        </w:numPr>
        <w:snapToGrid w:val="0"/>
        <w:spacing w:beforeLines="50" w:before="120" w:after="0" w:line="440" w:lineRule="exact"/>
        <w:ind w:left="958"/>
        <w:jc w:val="left"/>
        <w:rPr>
          <w:rFonts w:hAnsi="標楷體" w:hint="eastAsia"/>
          <w:b w:val="0"/>
          <w:sz w:val="32"/>
          <w:szCs w:val="32"/>
        </w:rPr>
      </w:pPr>
      <w:r w:rsidRPr="00A173DB">
        <w:rPr>
          <w:rFonts w:hAnsi="標楷體" w:hint="eastAsia"/>
          <w:b w:val="0"/>
          <w:sz w:val="32"/>
          <w:szCs w:val="36"/>
        </w:rPr>
        <w:t>加速發展</w:t>
      </w:r>
      <w:r>
        <w:rPr>
          <w:rFonts w:hAnsi="標楷體" w:hint="eastAsia"/>
          <w:b w:val="0"/>
          <w:sz w:val="32"/>
          <w:szCs w:val="36"/>
        </w:rPr>
        <w:t>再生能源，</w:t>
      </w:r>
      <w:r w:rsidRPr="00C4713D">
        <w:rPr>
          <w:rFonts w:hAnsi="標楷體" w:hint="eastAsia"/>
          <w:b w:val="0"/>
          <w:sz w:val="32"/>
          <w:szCs w:val="36"/>
        </w:rPr>
        <w:t>布局前瞻技術，</w:t>
      </w:r>
      <w:r w:rsidRPr="00C4713D">
        <w:rPr>
          <w:rFonts w:hAnsi="標楷體" w:hint="eastAsia"/>
          <w:b w:val="0"/>
          <w:sz w:val="32"/>
          <w:szCs w:val="32"/>
        </w:rPr>
        <w:t>拓展能源領域國際合作，打造臺灣成為亞太綠能中心</w:t>
      </w:r>
      <w:r w:rsidR="00384372" w:rsidRPr="00C4713D">
        <w:rPr>
          <w:rFonts w:hAnsi="標楷體" w:hint="eastAsia"/>
          <w:b w:val="0"/>
          <w:sz w:val="32"/>
          <w:szCs w:val="32"/>
        </w:rPr>
        <w:t>，逐步邁向能源部門淨零轉型</w:t>
      </w:r>
      <w:r w:rsidRPr="00C4713D">
        <w:rPr>
          <w:rFonts w:hAnsi="標楷體" w:hint="eastAsia"/>
          <w:b w:val="0"/>
          <w:sz w:val="32"/>
          <w:szCs w:val="32"/>
        </w:rPr>
        <w:t>。</w:t>
      </w:r>
    </w:p>
    <w:p w:rsidR="00D34975" w:rsidRPr="00660E19" w:rsidRDefault="00543FAC" w:rsidP="0090643E">
      <w:pPr>
        <w:pStyle w:val="ad"/>
        <w:widowControl w:val="0"/>
        <w:numPr>
          <w:ilvl w:val="0"/>
          <w:numId w:val="1"/>
        </w:numPr>
        <w:snapToGrid w:val="0"/>
        <w:spacing w:beforeLines="50" w:before="120" w:after="0" w:line="440" w:lineRule="exact"/>
        <w:jc w:val="left"/>
        <w:rPr>
          <w:rFonts w:hAnsi="標楷體" w:hint="eastAsia"/>
          <w:b w:val="0"/>
          <w:sz w:val="32"/>
          <w:szCs w:val="32"/>
        </w:rPr>
      </w:pPr>
      <w:r>
        <w:rPr>
          <w:rFonts w:hAnsi="標楷體" w:hint="eastAsia"/>
          <w:b w:val="0"/>
          <w:sz w:val="32"/>
          <w:szCs w:val="32"/>
        </w:rPr>
        <w:t>確保穩定供</w:t>
      </w:r>
      <w:r w:rsidRPr="00C4713D">
        <w:rPr>
          <w:rFonts w:hAnsi="標楷體" w:hint="eastAsia"/>
          <w:b w:val="0"/>
          <w:sz w:val="32"/>
          <w:szCs w:val="32"/>
        </w:rPr>
        <w:t>電</w:t>
      </w:r>
      <w:r w:rsidR="003529CE" w:rsidRPr="00C4713D">
        <w:rPr>
          <w:rFonts w:hAnsi="標楷體" w:hint="eastAsia"/>
          <w:b w:val="0"/>
          <w:sz w:val="32"/>
          <w:szCs w:val="32"/>
        </w:rPr>
        <w:t>，</w:t>
      </w:r>
      <w:r w:rsidRPr="00C4713D">
        <w:rPr>
          <w:rFonts w:hAnsi="標楷體" w:hint="eastAsia"/>
          <w:b w:val="0"/>
          <w:sz w:val="32"/>
          <w:szCs w:val="36"/>
        </w:rPr>
        <w:t>擴大</w:t>
      </w:r>
      <w:r w:rsidR="003529CE" w:rsidRPr="00C4713D">
        <w:rPr>
          <w:rFonts w:hAnsi="標楷體" w:hint="eastAsia"/>
          <w:b w:val="0"/>
          <w:sz w:val="32"/>
          <w:szCs w:val="36"/>
        </w:rPr>
        <w:t>天然氣供應</w:t>
      </w:r>
      <w:r w:rsidR="00D34975" w:rsidRPr="00C4713D">
        <w:rPr>
          <w:rFonts w:hAnsi="標楷體" w:hint="eastAsia"/>
          <w:b w:val="0"/>
          <w:sz w:val="32"/>
          <w:szCs w:val="32"/>
        </w:rPr>
        <w:t>，</w:t>
      </w:r>
      <w:r w:rsidR="0090643E" w:rsidRPr="00C4713D">
        <w:rPr>
          <w:rFonts w:hAnsi="標楷體" w:hint="eastAsia"/>
          <w:b w:val="0"/>
          <w:sz w:val="32"/>
          <w:szCs w:val="32"/>
        </w:rPr>
        <w:t>布建儲能及智慧電網，</w:t>
      </w:r>
      <w:r w:rsidR="00D34975" w:rsidRPr="00C4713D">
        <w:rPr>
          <w:rFonts w:hAnsi="標楷體" w:hint="eastAsia"/>
          <w:b w:val="0"/>
          <w:sz w:val="32"/>
          <w:szCs w:val="32"/>
        </w:rPr>
        <w:t>強化電網穩定度。</w:t>
      </w:r>
    </w:p>
    <w:p w:rsidR="00D34975" w:rsidRPr="00660E19" w:rsidRDefault="00D041D1" w:rsidP="009E3B7A">
      <w:pPr>
        <w:pStyle w:val="ad"/>
        <w:widowControl w:val="0"/>
        <w:numPr>
          <w:ilvl w:val="0"/>
          <w:numId w:val="1"/>
        </w:numPr>
        <w:snapToGrid w:val="0"/>
        <w:spacing w:beforeLines="50" w:before="120" w:after="0" w:line="440" w:lineRule="exact"/>
        <w:ind w:left="958"/>
        <w:jc w:val="left"/>
        <w:rPr>
          <w:rFonts w:hAnsi="標楷體" w:hint="eastAsia"/>
          <w:b w:val="0"/>
          <w:sz w:val="32"/>
          <w:szCs w:val="32"/>
        </w:rPr>
      </w:pPr>
      <w:r w:rsidRPr="00C4713D">
        <w:rPr>
          <w:rFonts w:hAnsi="標楷體"/>
          <w:b w:val="0"/>
          <w:sz w:val="32"/>
          <w:szCs w:val="36"/>
        </w:rPr>
        <w:t>積極推動節能</w:t>
      </w:r>
      <w:r w:rsidR="00D25D52" w:rsidRPr="00C4713D">
        <w:rPr>
          <w:rFonts w:hAnsi="標楷體"/>
          <w:b w:val="0"/>
          <w:sz w:val="32"/>
          <w:szCs w:val="36"/>
        </w:rPr>
        <w:t>及</w:t>
      </w:r>
      <w:r w:rsidR="00A173DB" w:rsidRPr="00C4713D">
        <w:rPr>
          <w:rFonts w:hAnsi="標楷體" w:hint="eastAsia"/>
          <w:b w:val="0"/>
          <w:sz w:val="32"/>
          <w:szCs w:val="36"/>
        </w:rPr>
        <w:t>提升</w:t>
      </w:r>
      <w:r w:rsidR="00A173DB" w:rsidRPr="00A173DB">
        <w:rPr>
          <w:rFonts w:hAnsi="標楷體" w:hint="eastAsia"/>
          <w:b w:val="0"/>
          <w:sz w:val="32"/>
          <w:szCs w:val="36"/>
        </w:rPr>
        <w:t>能源使用效率</w:t>
      </w:r>
      <w:r w:rsidR="00D25D52">
        <w:rPr>
          <w:rFonts w:hAnsi="標楷體" w:hint="eastAsia"/>
          <w:b w:val="0"/>
          <w:sz w:val="32"/>
          <w:szCs w:val="36"/>
        </w:rPr>
        <w:t>，</w:t>
      </w:r>
      <w:r w:rsidR="00A173DB" w:rsidRPr="00A173DB">
        <w:rPr>
          <w:rFonts w:hAnsi="標楷體" w:hint="eastAsia"/>
          <w:b w:val="0"/>
          <w:sz w:val="32"/>
          <w:szCs w:val="36"/>
        </w:rPr>
        <w:t>並落實能源先期管理</w:t>
      </w:r>
      <w:r w:rsidR="00D34975" w:rsidRPr="00660E19">
        <w:rPr>
          <w:rFonts w:hAnsi="標楷體" w:hint="eastAsia"/>
          <w:b w:val="0"/>
          <w:sz w:val="32"/>
          <w:szCs w:val="32"/>
        </w:rPr>
        <w:t>。</w:t>
      </w:r>
    </w:p>
    <w:p w:rsidR="001B291C" w:rsidRPr="00660E19" w:rsidRDefault="007A6604" w:rsidP="007A6604">
      <w:pPr>
        <w:pStyle w:val="1"/>
        <w:ind w:left="0" w:firstLine="0"/>
        <w:rPr>
          <w:rFonts w:ascii="標楷體" w:eastAsia="標楷體" w:hAnsi="標楷體" w:hint="eastAsia"/>
          <w:b/>
        </w:rPr>
      </w:pPr>
      <w:r>
        <w:rPr>
          <w:rFonts w:ascii="標楷體" w:eastAsia="標楷體" w:hAnsi="標楷體"/>
          <w:b/>
        </w:rPr>
        <w:br w:type="page"/>
      </w:r>
      <w:r w:rsidR="00CB74E1" w:rsidRPr="00660E19">
        <w:rPr>
          <w:rFonts w:ascii="標楷體" w:eastAsia="標楷體" w:hAnsi="標楷體" w:hint="eastAsia"/>
          <w:b/>
        </w:rPr>
        <w:lastRenderedPageBreak/>
        <w:t>三</w:t>
      </w:r>
      <w:r w:rsidR="001B291C" w:rsidRPr="00660E19">
        <w:rPr>
          <w:rFonts w:ascii="標楷體" w:eastAsia="標楷體" w:hAnsi="標楷體" w:hint="eastAsia"/>
          <w:b/>
        </w:rPr>
        <w:t>、年度重要施政計畫：</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275"/>
        <w:gridCol w:w="708"/>
        <w:gridCol w:w="6097"/>
      </w:tblGrid>
      <w:tr w:rsidR="00290305" w:rsidRPr="00D065AF" w:rsidTr="009F58BF">
        <w:trPr>
          <w:trHeight w:val="159"/>
          <w:tblHeader/>
        </w:trPr>
        <w:tc>
          <w:tcPr>
            <w:tcW w:w="685" w:type="pct"/>
            <w:shd w:val="clear" w:color="FFFFFF" w:fill="FFFFFF"/>
            <w:tcMar>
              <w:top w:w="0" w:type="dxa"/>
              <w:left w:w="0" w:type="dxa"/>
              <w:bottom w:w="0" w:type="dxa"/>
              <w:right w:w="0" w:type="dxa"/>
            </w:tcMar>
            <w:vAlign w:val="cente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工作計畫名稱</w:t>
            </w:r>
          </w:p>
        </w:tc>
        <w:tc>
          <w:tcPr>
            <w:tcW w:w="681" w:type="pct"/>
            <w:shd w:val="clear" w:color="FFFFFF" w:fill="FFFFFF"/>
            <w:tcMar>
              <w:top w:w="0" w:type="dxa"/>
              <w:left w:w="0" w:type="dxa"/>
              <w:bottom w:w="0" w:type="dxa"/>
              <w:right w:w="0" w:type="dxa"/>
            </w:tcMar>
            <w:vAlign w:val="cente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重要計畫項目</w:t>
            </w:r>
          </w:p>
        </w:tc>
        <w:tc>
          <w:tcPr>
            <w:tcW w:w="378" w:type="pct"/>
            <w:shd w:val="clear" w:color="FFFFFF" w:fill="FFFFFF"/>
            <w:tcMar>
              <w:top w:w="0" w:type="dxa"/>
              <w:left w:w="0" w:type="dxa"/>
              <w:bottom w:w="0" w:type="dxa"/>
              <w:right w:w="0" w:type="dxa"/>
            </w:tcMar>
            <w:vAlign w:val="cente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計畫類別</w:t>
            </w:r>
          </w:p>
        </w:tc>
        <w:tc>
          <w:tcPr>
            <w:tcW w:w="3256" w:type="pct"/>
            <w:shd w:val="clear" w:color="FFFFFF" w:fill="FFFFFF"/>
            <w:tcMar>
              <w:top w:w="0" w:type="dxa"/>
              <w:left w:w="0" w:type="dxa"/>
              <w:bottom w:w="0" w:type="dxa"/>
              <w:right w:w="0" w:type="dxa"/>
            </w:tcMar>
            <w:vAlign w:val="cente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實施內容</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能源轉型政策</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國家能源發展策略規劃及決策支援能量建構</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17"/>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發布能源轉型白皮書年度執行報告及關鍵指標趨勢分析。</w:t>
            </w:r>
          </w:p>
          <w:p w:rsidR="00D065AF" w:rsidRPr="00D065AF" w:rsidRDefault="00D065AF" w:rsidP="00EA5FFE">
            <w:pPr>
              <w:numPr>
                <w:ilvl w:val="0"/>
                <w:numId w:val="17"/>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研析國際重大政策導入公參作法，推動能源及淨零轉型政策溝通、認知培力。</w:t>
            </w:r>
          </w:p>
          <w:p w:rsidR="00D065AF" w:rsidRPr="00D065AF" w:rsidRDefault="00D065AF" w:rsidP="00EA5FFE">
            <w:pPr>
              <w:numPr>
                <w:ilvl w:val="0"/>
                <w:numId w:val="17"/>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建立地方能源治理示範案例、辦理培力課程、擴大在地社群參與網絡。</w:t>
            </w:r>
          </w:p>
          <w:p w:rsidR="00D065AF" w:rsidRPr="00D065AF" w:rsidRDefault="00D065AF" w:rsidP="00EA5FFE">
            <w:pPr>
              <w:numPr>
                <w:ilvl w:val="0"/>
                <w:numId w:val="17"/>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研析國際能源與淨零最新議題、政策配套，支援總體能源政策規劃。</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能源轉型政策</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能源先期管理制度執行、查核與研究</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36"/>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依「能源管理法」第16條規定，就大型投資生產計畫之能源用戶，辦理能源使用說明書審查、追蹤、查核及廠商輔導等各項工作，以落實產業能源先期管理制度之執行，提升能源使用效率。</w:t>
            </w:r>
          </w:p>
          <w:p w:rsidR="00D065AF" w:rsidRPr="00D065AF" w:rsidRDefault="00D065AF" w:rsidP="00EA5FFE">
            <w:pPr>
              <w:numPr>
                <w:ilvl w:val="0"/>
                <w:numId w:val="36"/>
              </w:numPr>
              <w:snapToGrid w:val="0"/>
              <w:spacing w:line="380" w:lineRule="exact"/>
              <w:ind w:left="708" w:hanging="708"/>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配合能源管理法修正草案進度，辦理相關子法修訂及推動作業。</w:t>
            </w:r>
          </w:p>
          <w:p w:rsidR="00D00242" w:rsidRDefault="00D065AF" w:rsidP="00EA5FFE">
            <w:pPr>
              <w:numPr>
                <w:ilvl w:val="0"/>
                <w:numId w:val="36"/>
              </w:numPr>
              <w:snapToGrid w:val="0"/>
              <w:spacing w:line="380" w:lineRule="exact"/>
              <w:ind w:left="708" w:hanging="708"/>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能源先期管理制度效率基準等相關議題之研析與建議。</w:t>
            </w:r>
          </w:p>
          <w:p w:rsidR="00D065AF" w:rsidRPr="00D00242" w:rsidRDefault="00D065AF" w:rsidP="00EA5FFE">
            <w:pPr>
              <w:numPr>
                <w:ilvl w:val="0"/>
                <w:numId w:val="36"/>
              </w:numPr>
              <w:snapToGrid w:val="0"/>
              <w:spacing w:line="380" w:lineRule="exact"/>
              <w:ind w:left="708" w:hanging="708"/>
              <w:rPr>
                <w:rFonts w:ascii="標楷體" w:eastAsia="標楷體" w:hAnsi="標楷體" w:cs="新細明體"/>
                <w:color w:val="000000"/>
                <w:sz w:val="28"/>
                <w:szCs w:val="28"/>
              </w:rPr>
            </w:pPr>
            <w:r w:rsidRPr="00D00242">
              <w:rPr>
                <w:rFonts w:ascii="標楷體" w:eastAsia="標楷體" w:hAnsi="標楷體" w:cs="新細明體"/>
                <w:color w:val="000000"/>
                <w:sz w:val="28"/>
                <w:szCs w:val="28"/>
              </w:rPr>
              <w:t>管理與維護能源使用先期管理資訊平臺，提升對外公開資訊透明度，強化呈現制度執行成果與審查。並推動數位化審查，精簡審查流程，提升案件辦理效率與效能。</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加速發展再生能源</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太陽光電設置環境建構與整合資源計畫</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19"/>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設置環境建構與政策推動。</w:t>
            </w:r>
          </w:p>
          <w:p w:rsidR="00D065AF" w:rsidRPr="00D065AF" w:rsidRDefault="00D065AF" w:rsidP="00EA5FFE">
            <w:pPr>
              <w:numPr>
                <w:ilvl w:val="0"/>
                <w:numId w:val="19"/>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系統整合資訊策略盤點。</w:t>
            </w:r>
          </w:p>
          <w:p w:rsidR="007D26B6" w:rsidRDefault="00D065AF" w:rsidP="00EA5FFE">
            <w:pPr>
              <w:numPr>
                <w:ilvl w:val="0"/>
                <w:numId w:val="19"/>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太陽光電推動宣導與地方社區深耕。</w:t>
            </w:r>
          </w:p>
          <w:p w:rsidR="00D065AF" w:rsidRPr="007D26B6" w:rsidRDefault="00D065AF" w:rsidP="00EA5FFE">
            <w:pPr>
              <w:numPr>
                <w:ilvl w:val="0"/>
                <w:numId w:val="19"/>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海上型太陽光電系統示範。</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加速發展再生能源</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太陽光電專案設置與系統安全推動計畫</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21"/>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協助推動各類型專案、專案管考與設置障礙排除。</w:t>
            </w:r>
          </w:p>
          <w:p w:rsidR="007D26B6" w:rsidRDefault="00D065AF" w:rsidP="00EA5FFE">
            <w:pPr>
              <w:numPr>
                <w:ilvl w:val="0"/>
                <w:numId w:val="21"/>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規劃太陽光電系統配套措施，推動太陽光電結合儲能系統及共同升壓站，強化區域能源自主及饋線利用率。</w:t>
            </w:r>
          </w:p>
          <w:p w:rsidR="00D065AF" w:rsidRPr="007D26B6" w:rsidRDefault="00D065AF" w:rsidP="00EA5FFE">
            <w:pPr>
              <w:numPr>
                <w:ilvl w:val="0"/>
                <w:numId w:val="21"/>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推動太陽光電系統維運與安全，宣導維運技術並提出改善建議，強化太陽光電消防搶救安全。</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lastRenderedPageBreak/>
              <w:t>加速發展再生能源</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風力發電設置整體推動與離岸風電關鍵技術研發計畫</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2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示範暨潛力場址風場開發推動。</w:t>
            </w:r>
          </w:p>
          <w:p w:rsidR="00D065AF" w:rsidRPr="00D065AF" w:rsidRDefault="00D065AF" w:rsidP="00EA5FFE">
            <w:pPr>
              <w:numPr>
                <w:ilvl w:val="0"/>
                <w:numId w:val="2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區塊開發推動。</w:t>
            </w:r>
          </w:p>
          <w:p w:rsidR="00D065AF" w:rsidRPr="00D065AF" w:rsidRDefault="00D065AF" w:rsidP="00EA5FFE">
            <w:pPr>
              <w:numPr>
                <w:ilvl w:val="0"/>
                <w:numId w:val="2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法規協調與履約管理。</w:t>
            </w:r>
          </w:p>
          <w:p w:rsidR="00D065AF" w:rsidRPr="00D065AF" w:rsidRDefault="00D065AF" w:rsidP="00EA5FFE">
            <w:pPr>
              <w:numPr>
                <w:ilvl w:val="0"/>
                <w:numId w:val="2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運維平臺推動。</w:t>
            </w:r>
          </w:p>
          <w:p w:rsidR="00D065AF" w:rsidRPr="00D065AF" w:rsidRDefault="00D065AF" w:rsidP="00EA5FFE">
            <w:pPr>
              <w:numPr>
                <w:ilvl w:val="0"/>
                <w:numId w:val="2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海纜裸露警戒系統開發。</w:t>
            </w:r>
          </w:p>
          <w:p w:rsidR="007D26B6" w:rsidRDefault="00D065AF" w:rsidP="00EA5FFE">
            <w:pPr>
              <w:numPr>
                <w:ilvl w:val="0"/>
                <w:numId w:val="23"/>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海事工程推動。</w:t>
            </w:r>
          </w:p>
          <w:p w:rsidR="00D065AF" w:rsidRPr="007D26B6" w:rsidRDefault="00D065AF" w:rsidP="00EA5FFE">
            <w:pPr>
              <w:numPr>
                <w:ilvl w:val="0"/>
                <w:numId w:val="23"/>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風場運維關鍵技術。</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加速發展再生能源</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生質能源技術開發</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25"/>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觸媒氣化發電技術：觸媒富氧氣化系統優化及發展多元料源共氣化。</w:t>
            </w:r>
          </w:p>
          <w:p w:rsidR="007D26B6" w:rsidRDefault="00D065AF" w:rsidP="00EA5FFE">
            <w:pPr>
              <w:numPr>
                <w:ilvl w:val="0"/>
                <w:numId w:val="25"/>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生物能源技術應用：優化厭氧生物菌、推廣乾式厭氧醱酵(沼氣)系統及發展生物轉換技術。</w:t>
            </w:r>
          </w:p>
          <w:p w:rsidR="00D065AF" w:rsidRPr="007D26B6" w:rsidRDefault="00D065AF" w:rsidP="00EA5FFE">
            <w:pPr>
              <w:numPr>
                <w:ilvl w:val="0"/>
                <w:numId w:val="25"/>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政策推動與技術驗證：辦理沼氣發電補助計畫作業與追蹤示範成效；驗證生質能轉換技術應用。</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確保穩定供電</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電力穩定供應策略研擬及管理</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社會發展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27"/>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蒐集影響電力需求相關資料，如氣候、產業結構調整、經濟成長率、用電趨勢等。</w:t>
            </w:r>
          </w:p>
          <w:p w:rsidR="00D065AF" w:rsidRPr="00D065AF" w:rsidRDefault="00D065AF" w:rsidP="00EA5FFE">
            <w:pPr>
              <w:numPr>
                <w:ilvl w:val="0"/>
                <w:numId w:val="27"/>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依電力需求相關影響因素，進行我國長期電力負載預測，俾評估未來用電需求之發展情勢。</w:t>
            </w:r>
          </w:p>
          <w:p w:rsidR="007D26B6" w:rsidRDefault="00D065AF" w:rsidP="00EA5FFE">
            <w:pPr>
              <w:numPr>
                <w:ilvl w:val="0"/>
                <w:numId w:val="27"/>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依長期負載預測結果，參考能源政策、環保限制、燃料供應、發電機組發展趨勢等因素，進行我國長期電源開發規劃。</w:t>
            </w:r>
          </w:p>
          <w:p w:rsidR="00D065AF" w:rsidRPr="007D26B6" w:rsidRDefault="00D065AF" w:rsidP="00EA5FFE">
            <w:pPr>
              <w:numPr>
                <w:ilvl w:val="0"/>
                <w:numId w:val="27"/>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定期追蹤各項電源工程進度，包括新機組設置、輸電線路設置、歲修檢修期程等。</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確保穩定供電</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擴大與穩定天然氣供應</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社會發展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29"/>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新(擴)建天然氣基礎設施，採專案管理以確實掌握各接收站及管線計畫進度，擴大天然氣供應能量。</w:t>
            </w:r>
          </w:p>
          <w:p w:rsidR="007D26B6" w:rsidRDefault="00D065AF" w:rsidP="00EA5FFE">
            <w:pPr>
              <w:numPr>
                <w:ilvl w:val="0"/>
                <w:numId w:val="29"/>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分析我國天然氣輸儲設備充足性，研析因應策略及配套措施。</w:t>
            </w:r>
          </w:p>
          <w:p w:rsidR="00D065AF" w:rsidRPr="007D26B6" w:rsidRDefault="00D065AF" w:rsidP="00EA5FFE">
            <w:pPr>
              <w:numPr>
                <w:ilvl w:val="0"/>
                <w:numId w:val="29"/>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因應國內外天然氣產業情勢變化，研擬天然氣供應風險之因應措施，確保天然氣供應穩定。</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確保穩定供電</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智慧電網推動與電</w:t>
            </w:r>
            <w:r w:rsidRPr="00D065AF">
              <w:rPr>
                <w:rFonts w:ascii="標楷體" w:eastAsia="標楷體" w:hAnsi="標楷體" w:cs="新細明體"/>
                <w:color w:val="000000"/>
                <w:sz w:val="28"/>
                <w:szCs w:val="28"/>
              </w:rPr>
              <w:lastRenderedPageBreak/>
              <w:t>力市場監管制度研析</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lastRenderedPageBreak/>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31"/>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發展配電系統設備健康診斷與預防性維護技術，優化配電饋線調度之決策輔助。</w:t>
            </w:r>
          </w:p>
          <w:p w:rsidR="00D065AF" w:rsidRPr="00D065AF" w:rsidRDefault="00D065AF" w:rsidP="00EA5FFE">
            <w:pPr>
              <w:numPr>
                <w:ilvl w:val="0"/>
                <w:numId w:val="31"/>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lastRenderedPageBreak/>
              <w:t>開發適用於配電系統之20kVA單相饋線電力品質控制技術，可補償額定10%之電壓驟升與驟降，提高電力系統穩定性。</w:t>
            </w:r>
          </w:p>
          <w:p w:rsidR="00D065AF" w:rsidRPr="00D065AF" w:rsidRDefault="00D065AF" w:rsidP="00EA5FFE">
            <w:pPr>
              <w:numPr>
                <w:ilvl w:val="0"/>
                <w:numId w:val="31"/>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健全電力市場推動與發展，完善輔助服務交易制度，協助辦理電力交易平臺監管之運作。</w:t>
            </w:r>
          </w:p>
          <w:p w:rsidR="007D26B6" w:rsidRDefault="00D065AF" w:rsidP="00EA5FFE">
            <w:pPr>
              <w:numPr>
                <w:ilvl w:val="0"/>
                <w:numId w:val="31"/>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協助電力可靠度審議會執行運作，另亦將協助處理電力系統改善小組與電力系統總體檢之管考項目進行定期審查，確保我國電力系統可靠度。</w:t>
            </w:r>
          </w:p>
          <w:p w:rsidR="00D065AF" w:rsidRPr="007D26B6" w:rsidRDefault="00D065AF" w:rsidP="00EA5FFE">
            <w:pPr>
              <w:numPr>
                <w:ilvl w:val="0"/>
                <w:numId w:val="31"/>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執行「智慧電網總體規劃方案」之滾動檢討，並管考包括智慧電表布建、儲能系統裝置、自動化饋線下游5分鐘內復電事故數占比提升及需量反應方案參與量等各項目標。</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lastRenderedPageBreak/>
              <w:t>強化節能</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使用能源設備及器具效率管理</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33"/>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研(修)訂使用能源設備或器具最低容許耗能基準(MEPS)、節能標章基準及能源效率分級標示基準，全面提升產品能源效率基準，落實設備源頭效率管制。</w:t>
            </w:r>
          </w:p>
          <w:p w:rsidR="007D26B6" w:rsidRDefault="00D065AF" w:rsidP="00EA5FFE">
            <w:pPr>
              <w:numPr>
                <w:ilvl w:val="0"/>
                <w:numId w:val="33"/>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執行能源效率分級標示產品能源效率登錄，以及節能標章產品驗證之管理與審查作業。</w:t>
            </w:r>
          </w:p>
          <w:p w:rsidR="00D065AF" w:rsidRPr="007D26B6" w:rsidRDefault="00D065AF" w:rsidP="00EA5FFE">
            <w:pPr>
              <w:numPr>
                <w:ilvl w:val="0"/>
                <w:numId w:val="33"/>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執行使用能源設備或器具能源效率之抽驗與市場稽查、測試方法研究與驗證調和、宣導推廣、國際交流與績效評估。</w:t>
            </w:r>
          </w:p>
        </w:tc>
      </w:tr>
      <w:tr w:rsidR="00290305" w:rsidRPr="00D065AF" w:rsidTr="009F58BF">
        <w:trPr>
          <w:trHeight w:val="159"/>
        </w:trPr>
        <w:tc>
          <w:tcPr>
            <w:tcW w:w="685"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強化節能</w:t>
            </w:r>
          </w:p>
        </w:tc>
        <w:tc>
          <w:tcPr>
            <w:tcW w:w="681" w:type="pct"/>
            <w:shd w:val="clear" w:color="FFFFFF" w:fill="FFFFFF"/>
            <w:tcMar>
              <w:top w:w="0" w:type="dxa"/>
              <w:left w:w="0" w:type="dxa"/>
              <w:bottom w:w="0" w:type="dxa"/>
              <w:right w:w="0" w:type="dxa"/>
            </w:tcMar>
          </w:tcPr>
          <w:p w:rsidR="00D065AF" w:rsidRPr="00D065AF" w:rsidRDefault="00D065AF" w:rsidP="00EA5FFE">
            <w:p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工業部門能源查核與效率管理</w:t>
            </w:r>
          </w:p>
        </w:tc>
        <w:tc>
          <w:tcPr>
            <w:tcW w:w="378" w:type="pct"/>
            <w:shd w:val="clear" w:color="FFFFFF" w:fill="FFFFFF"/>
            <w:tcMar>
              <w:top w:w="0" w:type="dxa"/>
              <w:left w:w="0" w:type="dxa"/>
              <w:bottom w:w="0" w:type="dxa"/>
              <w:right w:w="0" w:type="dxa"/>
            </w:tcMar>
          </w:tcPr>
          <w:p w:rsidR="00D065AF" w:rsidRPr="00D065AF" w:rsidRDefault="00D065AF" w:rsidP="00EA5FFE">
            <w:pPr>
              <w:snapToGrid w:val="0"/>
              <w:spacing w:line="380" w:lineRule="exact"/>
              <w:jc w:val="center"/>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科技發展</w:t>
            </w:r>
          </w:p>
        </w:tc>
        <w:tc>
          <w:tcPr>
            <w:tcW w:w="3256" w:type="pct"/>
            <w:shd w:val="clear" w:color="FFFFFF" w:fill="FFFFFF"/>
            <w:tcMar>
              <w:top w:w="0" w:type="dxa"/>
              <w:left w:w="0" w:type="dxa"/>
              <w:bottom w:w="0" w:type="dxa"/>
              <w:right w:w="0" w:type="dxa"/>
            </w:tcMar>
          </w:tcPr>
          <w:p w:rsidR="00D065AF" w:rsidRPr="00D065AF" w:rsidRDefault="00D065AF" w:rsidP="00EA5FFE">
            <w:pPr>
              <w:numPr>
                <w:ilvl w:val="0"/>
                <w:numId w:val="35"/>
              </w:numPr>
              <w:snapToGrid w:val="0"/>
              <w:spacing w:line="380" w:lineRule="exact"/>
              <w:rPr>
                <w:rFonts w:ascii="標楷體" w:eastAsia="標楷體" w:hAnsi="標楷體" w:cs="新細明體"/>
                <w:color w:val="000000"/>
                <w:sz w:val="28"/>
                <w:szCs w:val="28"/>
              </w:rPr>
            </w:pPr>
            <w:r w:rsidRPr="00D065AF">
              <w:rPr>
                <w:rFonts w:ascii="標楷體" w:eastAsia="標楷體" w:hAnsi="標楷體" w:cs="新細明體"/>
                <w:color w:val="000000"/>
                <w:sz w:val="28"/>
                <w:szCs w:val="28"/>
              </w:rPr>
              <w:t>執行能源查核與節電目標規定：推動能源用戶能源查核及節電目標制度之申報、審查與實地查驗。</w:t>
            </w:r>
          </w:p>
          <w:p w:rsidR="007D26B6" w:rsidRDefault="00D065AF" w:rsidP="00EA5FFE">
            <w:pPr>
              <w:numPr>
                <w:ilvl w:val="0"/>
                <w:numId w:val="35"/>
              </w:numPr>
              <w:snapToGrid w:val="0"/>
              <w:spacing w:line="380" w:lineRule="exact"/>
              <w:rPr>
                <w:rFonts w:ascii="標楷體" w:eastAsia="標楷體" w:hAnsi="標楷體" w:cs="新細明體" w:hint="eastAsia"/>
                <w:color w:val="000000"/>
                <w:sz w:val="28"/>
                <w:szCs w:val="28"/>
              </w:rPr>
            </w:pPr>
            <w:r w:rsidRPr="00D065AF">
              <w:rPr>
                <w:rFonts w:ascii="標楷體" w:eastAsia="標楷體" w:hAnsi="標楷體" w:cs="新細明體"/>
                <w:color w:val="000000"/>
                <w:sz w:val="28"/>
                <w:szCs w:val="28"/>
              </w:rPr>
              <w:t>節能規定檢查與宣導：推動6大產業能效與蒸汽鍋爐能效等規定之申報管理，並執行實地檢查。</w:t>
            </w:r>
          </w:p>
          <w:p w:rsidR="00D065AF" w:rsidRPr="007D26B6" w:rsidRDefault="00D065AF" w:rsidP="00EA5FFE">
            <w:pPr>
              <w:numPr>
                <w:ilvl w:val="0"/>
                <w:numId w:val="35"/>
              </w:numPr>
              <w:snapToGrid w:val="0"/>
              <w:spacing w:line="380" w:lineRule="exact"/>
              <w:rPr>
                <w:rFonts w:ascii="標楷體" w:eastAsia="標楷體" w:hAnsi="標楷體" w:cs="新細明體"/>
                <w:color w:val="000000"/>
                <w:sz w:val="28"/>
                <w:szCs w:val="28"/>
              </w:rPr>
            </w:pPr>
            <w:r w:rsidRPr="007D26B6">
              <w:rPr>
                <w:rFonts w:ascii="標楷體" w:eastAsia="標楷體" w:hAnsi="標楷體" w:cs="新細明體"/>
                <w:color w:val="000000"/>
                <w:sz w:val="28"/>
                <w:szCs w:val="28"/>
              </w:rPr>
              <w:t>辦理節能技術輔導：透過臨場節能診斷，協助用戶發掘節能潛力、研提節能改善計畫，追蹤後續改善成效。</w:t>
            </w:r>
          </w:p>
        </w:tc>
      </w:tr>
    </w:tbl>
    <w:p w:rsidR="00660E19" w:rsidRPr="00D065AF" w:rsidRDefault="00660E19" w:rsidP="00660E19">
      <w:pPr>
        <w:pStyle w:val="Web"/>
        <w:wordWrap w:val="0"/>
        <w:spacing w:before="0" w:beforeAutospacing="0" w:after="0" w:afterAutospacing="0" w:line="320" w:lineRule="exact"/>
        <w:ind w:left="480" w:hanging="480"/>
        <w:jc w:val="both"/>
        <w:rPr>
          <w:rFonts w:ascii="標楷體" w:eastAsia="標楷體" w:hAnsi="標楷體" w:hint="eastAsia"/>
          <w:sz w:val="36"/>
        </w:rPr>
      </w:pPr>
    </w:p>
    <w:sectPr w:rsidR="00660E19" w:rsidRPr="00D065AF" w:rsidSect="009576EF">
      <w:footerReference w:type="default" r:id="rId8"/>
      <w:pgSz w:w="11907" w:h="16840" w:code="9"/>
      <w:pgMar w:top="1134" w:right="1440" w:bottom="1134" w:left="1446"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AE" w:rsidRDefault="009461AE">
      <w:r>
        <w:separator/>
      </w:r>
    </w:p>
  </w:endnote>
  <w:endnote w:type="continuationSeparator" w:id="0">
    <w:p w:rsidR="009461AE" w:rsidRDefault="009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5B" w:rsidRDefault="00B40F5B" w:rsidP="00385D67">
    <w:pPr>
      <w:pStyle w:val="a4"/>
      <w:jc w:val="center"/>
    </w:pPr>
    <w:r>
      <w:fldChar w:fldCharType="begin"/>
    </w:r>
    <w:r>
      <w:instrText>PAGE   \* MERGEFORMAT</w:instrText>
    </w:r>
    <w:r>
      <w:fldChar w:fldCharType="separate"/>
    </w:r>
    <w:r w:rsidR="000B7427" w:rsidRPr="000B7427">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AE" w:rsidRDefault="009461AE">
      <w:r>
        <w:separator/>
      </w:r>
    </w:p>
  </w:footnote>
  <w:footnote w:type="continuationSeparator" w:id="0">
    <w:p w:rsidR="009461AE" w:rsidRDefault="00946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049"/>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6811AC"/>
    <w:multiLevelType w:val="hybridMultilevel"/>
    <w:tmpl w:val="5B568B22"/>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333B29"/>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005518"/>
    <w:multiLevelType w:val="hybridMultilevel"/>
    <w:tmpl w:val="5CB4F126"/>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8352F4"/>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C40F96"/>
    <w:multiLevelType w:val="hybridMultilevel"/>
    <w:tmpl w:val="8DC0AAB6"/>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B541ED"/>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010B51"/>
    <w:multiLevelType w:val="hybridMultilevel"/>
    <w:tmpl w:val="8422AF5E"/>
    <w:lvl w:ilvl="0" w:tplc="54BAE13C">
      <w:start w:val="1"/>
      <w:numFmt w:val="taiwaneseCountingThousand"/>
      <w:lvlText w:val="%1、"/>
      <w:lvlJc w:val="left"/>
      <w:pPr>
        <w:ind w:left="807" w:hanging="720"/>
      </w:pPr>
      <w:rPr>
        <w:rFonts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8">
    <w:nsid w:val="1EE02069"/>
    <w:multiLevelType w:val="hybridMultilevel"/>
    <w:tmpl w:val="41F4BD7A"/>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397FE6"/>
    <w:multiLevelType w:val="hybridMultilevel"/>
    <w:tmpl w:val="7262B0C0"/>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0792D"/>
    <w:multiLevelType w:val="hybridMultilevel"/>
    <w:tmpl w:val="235C07DA"/>
    <w:lvl w:ilvl="0" w:tplc="C9EAAF5E">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24A86A75"/>
    <w:multiLevelType w:val="hybridMultilevel"/>
    <w:tmpl w:val="CDB2BC9C"/>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362627"/>
    <w:multiLevelType w:val="hybridMultilevel"/>
    <w:tmpl w:val="AAB68F36"/>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3C3657"/>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E606534"/>
    <w:multiLevelType w:val="hybridMultilevel"/>
    <w:tmpl w:val="83480B28"/>
    <w:lvl w:ilvl="0" w:tplc="54BAE13C">
      <w:start w:val="1"/>
      <w:numFmt w:val="taiwaneseCountingThousand"/>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5">
    <w:nsid w:val="320E7D06"/>
    <w:multiLevelType w:val="hybridMultilevel"/>
    <w:tmpl w:val="E52E9E40"/>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126EB8"/>
    <w:multiLevelType w:val="hybridMultilevel"/>
    <w:tmpl w:val="E6422690"/>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1E5000"/>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0E0108"/>
    <w:multiLevelType w:val="hybridMultilevel"/>
    <w:tmpl w:val="00366568"/>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A96AD7"/>
    <w:multiLevelType w:val="hybridMultilevel"/>
    <w:tmpl w:val="FC3E7BCC"/>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34E5143"/>
    <w:multiLevelType w:val="hybridMultilevel"/>
    <w:tmpl w:val="90F6AC5E"/>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D00C5C"/>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C96C49"/>
    <w:multiLevelType w:val="hybridMultilevel"/>
    <w:tmpl w:val="DC9A80CE"/>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A7122A1"/>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0830AA"/>
    <w:multiLevelType w:val="hybridMultilevel"/>
    <w:tmpl w:val="28D4936C"/>
    <w:lvl w:ilvl="0" w:tplc="ADECDD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65388B"/>
    <w:multiLevelType w:val="hybridMultilevel"/>
    <w:tmpl w:val="BDD88F64"/>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F12199"/>
    <w:multiLevelType w:val="hybridMultilevel"/>
    <w:tmpl w:val="ECDC5882"/>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6F3C97"/>
    <w:multiLevelType w:val="hybridMultilevel"/>
    <w:tmpl w:val="7FBE309C"/>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7776D2"/>
    <w:multiLevelType w:val="hybridMultilevel"/>
    <w:tmpl w:val="4BE4E8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D873B1"/>
    <w:multiLevelType w:val="hybridMultilevel"/>
    <w:tmpl w:val="60E00E30"/>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1103268"/>
    <w:multiLevelType w:val="hybridMultilevel"/>
    <w:tmpl w:val="E64805D4"/>
    <w:lvl w:ilvl="0" w:tplc="0C487DB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45538E1"/>
    <w:multiLevelType w:val="hybridMultilevel"/>
    <w:tmpl w:val="7CA68A1E"/>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4787C7F"/>
    <w:multiLevelType w:val="hybridMultilevel"/>
    <w:tmpl w:val="4F12E4B2"/>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55646DE"/>
    <w:multiLevelType w:val="hybridMultilevel"/>
    <w:tmpl w:val="39C6AD82"/>
    <w:lvl w:ilvl="0" w:tplc="0DA6E93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58E263C"/>
    <w:multiLevelType w:val="hybridMultilevel"/>
    <w:tmpl w:val="1C368B2A"/>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7764274"/>
    <w:multiLevelType w:val="hybridMultilevel"/>
    <w:tmpl w:val="33F6B2E4"/>
    <w:lvl w:ilvl="0" w:tplc="54BAE1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2"/>
  </w:num>
  <w:num w:numId="4">
    <w:abstractNumId w:val="21"/>
  </w:num>
  <w:num w:numId="5">
    <w:abstractNumId w:val="17"/>
  </w:num>
  <w:num w:numId="6">
    <w:abstractNumId w:val="28"/>
  </w:num>
  <w:num w:numId="7">
    <w:abstractNumId w:val="23"/>
  </w:num>
  <w:num w:numId="8">
    <w:abstractNumId w:val="6"/>
  </w:num>
  <w:num w:numId="9">
    <w:abstractNumId w:val="30"/>
  </w:num>
  <w:num w:numId="10">
    <w:abstractNumId w:val="0"/>
  </w:num>
  <w:num w:numId="11">
    <w:abstractNumId w:val="13"/>
  </w:num>
  <w:num w:numId="12">
    <w:abstractNumId w:val="33"/>
  </w:num>
  <w:num w:numId="13">
    <w:abstractNumId w:val="24"/>
  </w:num>
  <w:num w:numId="14">
    <w:abstractNumId w:val="31"/>
  </w:num>
  <w:num w:numId="15">
    <w:abstractNumId w:val="20"/>
  </w:num>
  <w:num w:numId="16">
    <w:abstractNumId w:val="1"/>
  </w:num>
  <w:num w:numId="17">
    <w:abstractNumId w:val="7"/>
  </w:num>
  <w:num w:numId="18">
    <w:abstractNumId w:val="19"/>
  </w:num>
  <w:num w:numId="19">
    <w:abstractNumId w:val="5"/>
  </w:num>
  <w:num w:numId="20">
    <w:abstractNumId w:val="35"/>
  </w:num>
  <w:num w:numId="21">
    <w:abstractNumId w:val="9"/>
  </w:num>
  <w:num w:numId="22">
    <w:abstractNumId w:val="12"/>
  </w:num>
  <w:num w:numId="23">
    <w:abstractNumId w:val="15"/>
  </w:num>
  <w:num w:numId="24">
    <w:abstractNumId w:val="27"/>
  </w:num>
  <w:num w:numId="25">
    <w:abstractNumId w:val="26"/>
  </w:num>
  <w:num w:numId="26">
    <w:abstractNumId w:val="11"/>
  </w:num>
  <w:num w:numId="27">
    <w:abstractNumId w:val="32"/>
  </w:num>
  <w:num w:numId="28">
    <w:abstractNumId w:val="34"/>
  </w:num>
  <w:num w:numId="29">
    <w:abstractNumId w:val="16"/>
  </w:num>
  <w:num w:numId="30">
    <w:abstractNumId w:val="8"/>
  </w:num>
  <w:num w:numId="31">
    <w:abstractNumId w:val="25"/>
  </w:num>
  <w:num w:numId="32">
    <w:abstractNumId w:val="22"/>
  </w:num>
  <w:num w:numId="33">
    <w:abstractNumId w:val="18"/>
  </w:num>
  <w:num w:numId="34">
    <w:abstractNumId w:val="29"/>
  </w:num>
  <w:num w:numId="35">
    <w:abstractNumId w:val="3"/>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3.25 公分,2.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644AB6"/>
    <w:rsid w:val="00000124"/>
    <w:rsid w:val="0000511E"/>
    <w:rsid w:val="0000752A"/>
    <w:rsid w:val="000126D4"/>
    <w:rsid w:val="000151CC"/>
    <w:rsid w:val="00032B7F"/>
    <w:rsid w:val="0003481C"/>
    <w:rsid w:val="00034E52"/>
    <w:rsid w:val="00046CF0"/>
    <w:rsid w:val="00046D48"/>
    <w:rsid w:val="000564D2"/>
    <w:rsid w:val="000618FF"/>
    <w:rsid w:val="00061CE4"/>
    <w:rsid w:val="000655CC"/>
    <w:rsid w:val="00066000"/>
    <w:rsid w:val="000745F6"/>
    <w:rsid w:val="0007519A"/>
    <w:rsid w:val="000759A7"/>
    <w:rsid w:val="00084713"/>
    <w:rsid w:val="000852B3"/>
    <w:rsid w:val="00090B2C"/>
    <w:rsid w:val="00095B57"/>
    <w:rsid w:val="00096E98"/>
    <w:rsid w:val="000A03A8"/>
    <w:rsid w:val="000A05BE"/>
    <w:rsid w:val="000A4DBC"/>
    <w:rsid w:val="000B3470"/>
    <w:rsid w:val="000B55DA"/>
    <w:rsid w:val="000B6052"/>
    <w:rsid w:val="000B7427"/>
    <w:rsid w:val="000C0149"/>
    <w:rsid w:val="000C157C"/>
    <w:rsid w:val="000C32A1"/>
    <w:rsid w:val="000C56EC"/>
    <w:rsid w:val="000C625A"/>
    <w:rsid w:val="000D0794"/>
    <w:rsid w:val="000D12A7"/>
    <w:rsid w:val="000D22DE"/>
    <w:rsid w:val="000D7127"/>
    <w:rsid w:val="000E1654"/>
    <w:rsid w:val="000E62C5"/>
    <w:rsid w:val="000F197E"/>
    <w:rsid w:val="000F20F1"/>
    <w:rsid w:val="000F2970"/>
    <w:rsid w:val="000F4E21"/>
    <w:rsid w:val="00102B9C"/>
    <w:rsid w:val="00104537"/>
    <w:rsid w:val="00106CD9"/>
    <w:rsid w:val="0011007B"/>
    <w:rsid w:val="0011113D"/>
    <w:rsid w:val="00114FA1"/>
    <w:rsid w:val="0011701F"/>
    <w:rsid w:val="00121C48"/>
    <w:rsid w:val="00123EC1"/>
    <w:rsid w:val="00125905"/>
    <w:rsid w:val="0012668D"/>
    <w:rsid w:val="0013694B"/>
    <w:rsid w:val="00137336"/>
    <w:rsid w:val="00140E41"/>
    <w:rsid w:val="0014181D"/>
    <w:rsid w:val="0014567D"/>
    <w:rsid w:val="00145753"/>
    <w:rsid w:val="00146750"/>
    <w:rsid w:val="00150C16"/>
    <w:rsid w:val="0015526B"/>
    <w:rsid w:val="00155CEE"/>
    <w:rsid w:val="0015638B"/>
    <w:rsid w:val="00173CA8"/>
    <w:rsid w:val="00176DB5"/>
    <w:rsid w:val="00182898"/>
    <w:rsid w:val="00186BDC"/>
    <w:rsid w:val="00191281"/>
    <w:rsid w:val="00191EFA"/>
    <w:rsid w:val="00192563"/>
    <w:rsid w:val="001950FE"/>
    <w:rsid w:val="00197EBE"/>
    <w:rsid w:val="001A22F6"/>
    <w:rsid w:val="001A5898"/>
    <w:rsid w:val="001A7EF9"/>
    <w:rsid w:val="001B291C"/>
    <w:rsid w:val="001B5F7B"/>
    <w:rsid w:val="001C14A6"/>
    <w:rsid w:val="001C3DD4"/>
    <w:rsid w:val="001D1B00"/>
    <w:rsid w:val="001D65B5"/>
    <w:rsid w:val="001E4561"/>
    <w:rsid w:val="001E4E15"/>
    <w:rsid w:val="001E75B0"/>
    <w:rsid w:val="002002B4"/>
    <w:rsid w:val="002005B6"/>
    <w:rsid w:val="002015C8"/>
    <w:rsid w:val="00204F4E"/>
    <w:rsid w:val="00205015"/>
    <w:rsid w:val="00205B12"/>
    <w:rsid w:val="00206F1C"/>
    <w:rsid w:val="002076E6"/>
    <w:rsid w:val="0021671A"/>
    <w:rsid w:val="00226E2B"/>
    <w:rsid w:val="00226F54"/>
    <w:rsid w:val="00230E63"/>
    <w:rsid w:val="0023190C"/>
    <w:rsid w:val="00232F61"/>
    <w:rsid w:val="00236DB2"/>
    <w:rsid w:val="00236F34"/>
    <w:rsid w:val="00237B1A"/>
    <w:rsid w:val="002436EF"/>
    <w:rsid w:val="00245098"/>
    <w:rsid w:val="00246115"/>
    <w:rsid w:val="00247330"/>
    <w:rsid w:val="002478DE"/>
    <w:rsid w:val="00257743"/>
    <w:rsid w:val="002644BD"/>
    <w:rsid w:val="00267FF8"/>
    <w:rsid w:val="00272B0E"/>
    <w:rsid w:val="002755BF"/>
    <w:rsid w:val="00277A46"/>
    <w:rsid w:val="002805AE"/>
    <w:rsid w:val="00280720"/>
    <w:rsid w:val="002813EF"/>
    <w:rsid w:val="002849A8"/>
    <w:rsid w:val="00290305"/>
    <w:rsid w:val="00291A57"/>
    <w:rsid w:val="0029280A"/>
    <w:rsid w:val="002932A9"/>
    <w:rsid w:val="00294AAC"/>
    <w:rsid w:val="00297CF3"/>
    <w:rsid w:val="002A0584"/>
    <w:rsid w:val="002A31CA"/>
    <w:rsid w:val="002A4CD9"/>
    <w:rsid w:val="002B175F"/>
    <w:rsid w:val="002B1D56"/>
    <w:rsid w:val="002B306C"/>
    <w:rsid w:val="002B34E7"/>
    <w:rsid w:val="002B5A88"/>
    <w:rsid w:val="002B69B6"/>
    <w:rsid w:val="002C3C6D"/>
    <w:rsid w:val="002C7464"/>
    <w:rsid w:val="002D2D17"/>
    <w:rsid w:val="002D3E1D"/>
    <w:rsid w:val="002E0E57"/>
    <w:rsid w:val="002E1121"/>
    <w:rsid w:val="002F0847"/>
    <w:rsid w:val="002F10AA"/>
    <w:rsid w:val="002F288F"/>
    <w:rsid w:val="002F4B81"/>
    <w:rsid w:val="002F6023"/>
    <w:rsid w:val="002F770E"/>
    <w:rsid w:val="0030193F"/>
    <w:rsid w:val="0030436B"/>
    <w:rsid w:val="00304C9E"/>
    <w:rsid w:val="00314A1B"/>
    <w:rsid w:val="00314C00"/>
    <w:rsid w:val="00323D74"/>
    <w:rsid w:val="00324B23"/>
    <w:rsid w:val="00334E6D"/>
    <w:rsid w:val="003352D2"/>
    <w:rsid w:val="00337E8A"/>
    <w:rsid w:val="003402D3"/>
    <w:rsid w:val="00340383"/>
    <w:rsid w:val="003410BD"/>
    <w:rsid w:val="0034771B"/>
    <w:rsid w:val="003529CE"/>
    <w:rsid w:val="00352A60"/>
    <w:rsid w:val="00352F3F"/>
    <w:rsid w:val="003533B8"/>
    <w:rsid w:val="00354C25"/>
    <w:rsid w:val="003571EA"/>
    <w:rsid w:val="00357C13"/>
    <w:rsid w:val="00367D9F"/>
    <w:rsid w:val="00381FFA"/>
    <w:rsid w:val="0038267D"/>
    <w:rsid w:val="00384372"/>
    <w:rsid w:val="00385D67"/>
    <w:rsid w:val="00394253"/>
    <w:rsid w:val="003A0363"/>
    <w:rsid w:val="003A4AB6"/>
    <w:rsid w:val="003A7AE6"/>
    <w:rsid w:val="003B35E8"/>
    <w:rsid w:val="003B51DF"/>
    <w:rsid w:val="003B7F50"/>
    <w:rsid w:val="003C6031"/>
    <w:rsid w:val="003D03C6"/>
    <w:rsid w:val="003D35A5"/>
    <w:rsid w:val="003D414F"/>
    <w:rsid w:val="003D479E"/>
    <w:rsid w:val="003D4CB9"/>
    <w:rsid w:val="003D738E"/>
    <w:rsid w:val="003F0C1D"/>
    <w:rsid w:val="003F19C1"/>
    <w:rsid w:val="003F1F5A"/>
    <w:rsid w:val="004011A0"/>
    <w:rsid w:val="00406C1E"/>
    <w:rsid w:val="00406C79"/>
    <w:rsid w:val="00407968"/>
    <w:rsid w:val="00415172"/>
    <w:rsid w:val="004157F1"/>
    <w:rsid w:val="00423A57"/>
    <w:rsid w:val="0042699F"/>
    <w:rsid w:val="00433C2B"/>
    <w:rsid w:val="00435AA4"/>
    <w:rsid w:val="00441812"/>
    <w:rsid w:val="004428D2"/>
    <w:rsid w:val="00442D2A"/>
    <w:rsid w:val="0045235E"/>
    <w:rsid w:val="00452FF8"/>
    <w:rsid w:val="00463C66"/>
    <w:rsid w:val="00463D8F"/>
    <w:rsid w:val="00493638"/>
    <w:rsid w:val="00496892"/>
    <w:rsid w:val="004A5715"/>
    <w:rsid w:val="004A5A2E"/>
    <w:rsid w:val="004B3358"/>
    <w:rsid w:val="004B37B7"/>
    <w:rsid w:val="004B7804"/>
    <w:rsid w:val="004C5654"/>
    <w:rsid w:val="004D0E36"/>
    <w:rsid w:val="004D43F9"/>
    <w:rsid w:val="004D62F0"/>
    <w:rsid w:val="004D7600"/>
    <w:rsid w:val="004E0443"/>
    <w:rsid w:val="004E3303"/>
    <w:rsid w:val="004E3E4D"/>
    <w:rsid w:val="004E5DF2"/>
    <w:rsid w:val="004E6E10"/>
    <w:rsid w:val="004F1C71"/>
    <w:rsid w:val="004F2061"/>
    <w:rsid w:val="004F25AE"/>
    <w:rsid w:val="0050179F"/>
    <w:rsid w:val="00501F79"/>
    <w:rsid w:val="005029E1"/>
    <w:rsid w:val="00503033"/>
    <w:rsid w:val="00503B31"/>
    <w:rsid w:val="00504161"/>
    <w:rsid w:val="005067AD"/>
    <w:rsid w:val="0051114E"/>
    <w:rsid w:val="005161E5"/>
    <w:rsid w:val="00523FE4"/>
    <w:rsid w:val="00530D96"/>
    <w:rsid w:val="00531EEA"/>
    <w:rsid w:val="00532878"/>
    <w:rsid w:val="00534855"/>
    <w:rsid w:val="005358AD"/>
    <w:rsid w:val="00535DB6"/>
    <w:rsid w:val="00541C4C"/>
    <w:rsid w:val="00543FAC"/>
    <w:rsid w:val="0054601A"/>
    <w:rsid w:val="0055426D"/>
    <w:rsid w:val="005560D8"/>
    <w:rsid w:val="00557322"/>
    <w:rsid w:val="005648BA"/>
    <w:rsid w:val="00571982"/>
    <w:rsid w:val="00583FAE"/>
    <w:rsid w:val="005945D8"/>
    <w:rsid w:val="005A4B5F"/>
    <w:rsid w:val="005A5E00"/>
    <w:rsid w:val="005B43B5"/>
    <w:rsid w:val="005B78CF"/>
    <w:rsid w:val="005B7985"/>
    <w:rsid w:val="005C21DF"/>
    <w:rsid w:val="005C3F55"/>
    <w:rsid w:val="005D06EB"/>
    <w:rsid w:val="005D1E26"/>
    <w:rsid w:val="005D3462"/>
    <w:rsid w:val="005D47FC"/>
    <w:rsid w:val="005D5116"/>
    <w:rsid w:val="005D719A"/>
    <w:rsid w:val="005E10A8"/>
    <w:rsid w:val="005E2954"/>
    <w:rsid w:val="005E34E9"/>
    <w:rsid w:val="005E6FFB"/>
    <w:rsid w:val="005F215C"/>
    <w:rsid w:val="0060355A"/>
    <w:rsid w:val="00605BBB"/>
    <w:rsid w:val="00606CA2"/>
    <w:rsid w:val="00615120"/>
    <w:rsid w:val="0061613A"/>
    <w:rsid w:val="00616F61"/>
    <w:rsid w:val="006252BF"/>
    <w:rsid w:val="00634BFB"/>
    <w:rsid w:val="00640406"/>
    <w:rsid w:val="00640B80"/>
    <w:rsid w:val="00644AB6"/>
    <w:rsid w:val="006451E3"/>
    <w:rsid w:val="00646591"/>
    <w:rsid w:val="006472D6"/>
    <w:rsid w:val="00652529"/>
    <w:rsid w:val="006559C9"/>
    <w:rsid w:val="006605BF"/>
    <w:rsid w:val="00660662"/>
    <w:rsid w:val="00660DEA"/>
    <w:rsid w:val="00660E19"/>
    <w:rsid w:val="0066436F"/>
    <w:rsid w:val="00666CE9"/>
    <w:rsid w:val="00676CFA"/>
    <w:rsid w:val="00680478"/>
    <w:rsid w:val="00685CAB"/>
    <w:rsid w:val="006901C6"/>
    <w:rsid w:val="00695AF2"/>
    <w:rsid w:val="00695C86"/>
    <w:rsid w:val="00697C90"/>
    <w:rsid w:val="006A322E"/>
    <w:rsid w:val="006A46D6"/>
    <w:rsid w:val="006B141A"/>
    <w:rsid w:val="006B3318"/>
    <w:rsid w:val="006B3524"/>
    <w:rsid w:val="006B523B"/>
    <w:rsid w:val="006C4336"/>
    <w:rsid w:val="006D1678"/>
    <w:rsid w:val="006D68F0"/>
    <w:rsid w:val="006E3098"/>
    <w:rsid w:val="006F1860"/>
    <w:rsid w:val="006F223C"/>
    <w:rsid w:val="006F40F9"/>
    <w:rsid w:val="0070082B"/>
    <w:rsid w:val="00703AA4"/>
    <w:rsid w:val="0070662B"/>
    <w:rsid w:val="00706933"/>
    <w:rsid w:val="007113D7"/>
    <w:rsid w:val="00714BEB"/>
    <w:rsid w:val="00717B49"/>
    <w:rsid w:val="00717B58"/>
    <w:rsid w:val="00721160"/>
    <w:rsid w:val="00721945"/>
    <w:rsid w:val="007309C3"/>
    <w:rsid w:val="00731FCA"/>
    <w:rsid w:val="00731FD4"/>
    <w:rsid w:val="00734E11"/>
    <w:rsid w:val="007407FF"/>
    <w:rsid w:val="00740895"/>
    <w:rsid w:val="00743702"/>
    <w:rsid w:val="007467A7"/>
    <w:rsid w:val="00750392"/>
    <w:rsid w:val="00750A87"/>
    <w:rsid w:val="0076137A"/>
    <w:rsid w:val="00761C81"/>
    <w:rsid w:val="0076242C"/>
    <w:rsid w:val="00765C09"/>
    <w:rsid w:val="00766B89"/>
    <w:rsid w:val="00766E73"/>
    <w:rsid w:val="00790520"/>
    <w:rsid w:val="00794876"/>
    <w:rsid w:val="00794AB0"/>
    <w:rsid w:val="00795A91"/>
    <w:rsid w:val="007978F8"/>
    <w:rsid w:val="00797AC0"/>
    <w:rsid w:val="007A1016"/>
    <w:rsid w:val="007A13D9"/>
    <w:rsid w:val="007A3FA5"/>
    <w:rsid w:val="007A6604"/>
    <w:rsid w:val="007A6BC8"/>
    <w:rsid w:val="007A7CD9"/>
    <w:rsid w:val="007B0258"/>
    <w:rsid w:val="007B1AE1"/>
    <w:rsid w:val="007B3CF9"/>
    <w:rsid w:val="007B76DE"/>
    <w:rsid w:val="007C1D71"/>
    <w:rsid w:val="007C3678"/>
    <w:rsid w:val="007C4C75"/>
    <w:rsid w:val="007C74EB"/>
    <w:rsid w:val="007C7BBD"/>
    <w:rsid w:val="007D26B6"/>
    <w:rsid w:val="007D4710"/>
    <w:rsid w:val="007D6CF3"/>
    <w:rsid w:val="007E57A3"/>
    <w:rsid w:val="007F4D32"/>
    <w:rsid w:val="00804213"/>
    <w:rsid w:val="008061D8"/>
    <w:rsid w:val="00807F0B"/>
    <w:rsid w:val="00814FE5"/>
    <w:rsid w:val="008168C6"/>
    <w:rsid w:val="00817C86"/>
    <w:rsid w:val="00820B27"/>
    <w:rsid w:val="00824AB1"/>
    <w:rsid w:val="00826931"/>
    <w:rsid w:val="00830EC5"/>
    <w:rsid w:val="008330CF"/>
    <w:rsid w:val="008331E9"/>
    <w:rsid w:val="008378FF"/>
    <w:rsid w:val="00844F06"/>
    <w:rsid w:val="00845EC4"/>
    <w:rsid w:val="00850FB2"/>
    <w:rsid w:val="00854B34"/>
    <w:rsid w:val="008572F0"/>
    <w:rsid w:val="00861C15"/>
    <w:rsid w:val="00862EA8"/>
    <w:rsid w:val="008650E8"/>
    <w:rsid w:val="0086529F"/>
    <w:rsid w:val="00876E3F"/>
    <w:rsid w:val="00880D4A"/>
    <w:rsid w:val="00883058"/>
    <w:rsid w:val="008830F1"/>
    <w:rsid w:val="00885C6B"/>
    <w:rsid w:val="00887826"/>
    <w:rsid w:val="00895F60"/>
    <w:rsid w:val="00896032"/>
    <w:rsid w:val="008962B1"/>
    <w:rsid w:val="008A26EC"/>
    <w:rsid w:val="008A3A27"/>
    <w:rsid w:val="008A773B"/>
    <w:rsid w:val="008B23A1"/>
    <w:rsid w:val="008B2E39"/>
    <w:rsid w:val="008B2E99"/>
    <w:rsid w:val="008B68DD"/>
    <w:rsid w:val="008C0027"/>
    <w:rsid w:val="008C2A4B"/>
    <w:rsid w:val="008C7541"/>
    <w:rsid w:val="008D0ABB"/>
    <w:rsid w:val="008D2DEF"/>
    <w:rsid w:val="008D4CDB"/>
    <w:rsid w:val="008D5EEB"/>
    <w:rsid w:val="008E18AC"/>
    <w:rsid w:val="008E20A8"/>
    <w:rsid w:val="008F209F"/>
    <w:rsid w:val="008F56FA"/>
    <w:rsid w:val="008F6946"/>
    <w:rsid w:val="00901292"/>
    <w:rsid w:val="00901807"/>
    <w:rsid w:val="0090580D"/>
    <w:rsid w:val="00905B5F"/>
    <w:rsid w:val="0090643E"/>
    <w:rsid w:val="00911188"/>
    <w:rsid w:val="00914003"/>
    <w:rsid w:val="0091522F"/>
    <w:rsid w:val="00916A57"/>
    <w:rsid w:val="00916C47"/>
    <w:rsid w:val="00917094"/>
    <w:rsid w:val="00922833"/>
    <w:rsid w:val="009247F2"/>
    <w:rsid w:val="00925129"/>
    <w:rsid w:val="009255C1"/>
    <w:rsid w:val="00927A94"/>
    <w:rsid w:val="00931A49"/>
    <w:rsid w:val="00932FB3"/>
    <w:rsid w:val="0093546A"/>
    <w:rsid w:val="009357F7"/>
    <w:rsid w:val="0094430F"/>
    <w:rsid w:val="009461AE"/>
    <w:rsid w:val="00952261"/>
    <w:rsid w:val="009538C4"/>
    <w:rsid w:val="00954F4C"/>
    <w:rsid w:val="009576EF"/>
    <w:rsid w:val="0096059F"/>
    <w:rsid w:val="00960C95"/>
    <w:rsid w:val="00961745"/>
    <w:rsid w:val="00962654"/>
    <w:rsid w:val="00962D83"/>
    <w:rsid w:val="00966155"/>
    <w:rsid w:val="009667CB"/>
    <w:rsid w:val="00971CAD"/>
    <w:rsid w:val="00980DCC"/>
    <w:rsid w:val="00981607"/>
    <w:rsid w:val="00991282"/>
    <w:rsid w:val="009966A5"/>
    <w:rsid w:val="009A6466"/>
    <w:rsid w:val="009B041C"/>
    <w:rsid w:val="009B2DEE"/>
    <w:rsid w:val="009B73B2"/>
    <w:rsid w:val="009C0E01"/>
    <w:rsid w:val="009C42A3"/>
    <w:rsid w:val="009C5C12"/>
    <w:rsid w:val="009D2D32"/>
    <w:rsid w:val="009E0424"/>
    <w:rsid w:val="009E3B7A"/>
    <w:rsid w:val="009E4677"/>
    <w:rsid w:val="009F018C"/>
    <w:rsid w:val="009F08BB"/>
    <w:rsid w:val="009F434E"/>
    <w:rsid w:val="009F58BF"/>
    <w:rsid w:val="00A07C78"/>
    <w:rsid w:val="00A173DB"/>
    <w:rsid w:val="00A17B31"/>
    <w:rsid w:val="00A20E22"/>
    <w:rsid w:val="00A21BF1"/>
    <w:rsid w:val="00A259A3"/>
    <w:rsid w:val="00A26ACD"/>
    <w:rsid w:val="00A277E2"/>
    <w:rsid w:val="00A3137A"/>
    <w:rsid w:val="00A329DC"/>
    <w:rsid w:val="00A331B2"/>
    <w:rsid w:val="00A36FF9"/>
    <w:rsid w:val="00A45A84"/>
    <w:rsid w:val="00A4605E"/>
    <w:rsid w:val="00A52B26"/>
    <w:rsid w:val="00A545B1"/>
    <w:rsid w:val="00A616EA"/>
    <w:rsid w:val="00A64606"/>
    <w:rsid w:val="00A66892"/>
    <w:rsid w:val="00A72849"/>
    <w:rsid w:val="00A72FE2"/>
    <w:rsid w:val="00A73F16"/>
    <w:rsid w:val="00A73FEE"/>
    <w:rsid w:val="00A809E0"/>
    <w:rsid w:val="00A8495A"/>
    <w:rsid w:val="00A84F42"/>
    <w:rsid w:val="00A919A4"/>
    <w:rsid w:val="00A943C0"/>
    <w:rsid w:val="00AA37CB"/>
    <w:rsid w:val="00AA4250"/>
    <w:rsid w:val="00AA4BB0"/>
    <w:rsid w:val="00AB00D6"/>
    <w:rsid w:val="00AB1679"/>
    <w:rsid w:val="00AB2672"/>
    <w:rsid w:val="00AB2B63"/>
    <w:rsid w:val="00AB6DE0"/>
    <w:rsid w:val="00AB7A49"/>
    <w:rsid w:val="00AC0127"/>
    <w:rsid w:val="00AC2066"/>
    <w:rsid w:val="00AC3AAC"/>
    <w:rsid w:val="00AC6716"/>
    <w:rsid w:val="00AD5DF7"/>
    <w:rsid w:val="00AD6140"/>
    <w:rsid w:val="00AD64D1"/>
    <w:rsid w:val="00AE2BA0"/>
    <w:rsid w:val="00AF0DFF"/>
    <w:rsid w:val="00AF2C69"/>
    <w:rsid w:val="00AF3A5D"/>
    <w:rsid w:val="00AF68B2"/>
    <w:rsid w:val="00B004B0"/>
    <w:rsid w:val="00B0295A"/>
    <w:rsid w:val="00B03AB2"/>
    <w:rsid w:val="00B11EC3"/>
    <w:rsid w:val="00B13DD7"/>
    <w:rsid w:val="00B1519F"/>
    <w:rsid w:val="00B2031B"/>
    <w:rsid w:val="00B23B62"/>
    <w:rsid w:val="00B262F1"/>
    <w:rsid w:val="00B31044"/>
    <w:rsid w:val="00B333B3"/>
    <w:rsid w:val="00B3391C"/>
    <w:rsid w:val="00B34372"/>
    <w:rsid w:val="00B3472F"/>
    <w:rsid w:val="00B35A21"/>
    <w:rsid w:val="00B36FE2"/>
    <w:rsid w:val="00B40F5B"/>
    <w:rsid w:val="00B42C10"/>
    <w:rsid w:val="00B50A7D"/>
    <w:rsid w:val="00B50F2F"/>
    <w:rsid w:val="00B5351E"/>
    <w:rsid w:val="00B54E84"/>
    <w:rsid w:val="00B5767E"/>
    <w:rsid w:val="00B57D31"/>
    <w:rsid w:val="00B646D5"/>
    <w:rsid w:val="00B64CE4"/>
    <w:rsid w:val="00B74617"/>
    <w:rsid w:val="00B7480E"/>
    <w:rsid w:val="00B779F0"/>
    <w:rsid w:val="00B81536"/>
    <w:rsid w:val="00B83979"/>
    <w:rsid w:val="00B95C3C"/>
    <w:rsid w:val="00BA17F2"/>
    <w:rsid w:val="00BA2295"/>
    <w:rsid w:val="00BB6C36"/>
    <w:rsid w:val="00BB7959"/>
    <w:rsid w:val="00BB7BF4"/>
    <w:rsid w:val="00BC266A"/>
    <w:rsid w:val="00BC610E"/>
    <w:rsid w:val="00BD2856"/>
    <w:rsid w:val="00BD3723"/>
    <w:rsid w:val="00BD5186"/>
    <w:rsid w:val="00BE3387"/>
    <w:rsid w:val="00BE4C7B"/>
    <w:rsid w:val="00BE6774"/>
    <w:rsid w:val="00BE6851"/>
    <w:rsid w:val="00BF3BF6"/>
    <w:rsid w:val="00C040B6"/>
    <w:rsid w:val="00C12E2D"/>
    <w:rsid w:val="00C205B8"/>
    <w:rsid w:val="00C250E8"/>
    <w:rsid w:val="00C35268"/>
    <w:rsid w:val="00C352A3"/>
    <w:rsid w:val="00C36719"/>
    <w:rsid w:val="00C400CE"/>
    <w:rsid w:val="00C4084C"/>
    <w:rsid w:val="00C4146C"/>
    <w:rsid w:val="00C42229"/>
    <w:rsid w:val="00C4713D"/>
    <w:rsid w:val="00C50C36"/>
    <w:rsid w:val="00C576CC"/>
    <w:rsid w:val="00C67326"/>
    <w:rsid w:val="00C70611"/>
    <w:rsid w:val="00C7113A"/>
    <w:rsid w:val="00C75EF4"/>
    <w:rsid w:val="00C768DE"/>
    <w:rsid w:val="00C84533"/>
    <w:rsid w:val="00C84F5B"/>
    <w:rsid w:val="00C93DB6"/>
    <w:rsid w:val="00C949C5"/>
    <w:rsid w:val="00C97F05"/>
    <w:rsid w:val="00CA22C4"/>
    <w:rsid w:val="00CA5D81"/>
    <w:rsid w:val="00CB1E64"/>
    <w:rsid w:val="00CB290E"/>
    <w:rsid w:val="00CB42F5"/>
    <w:rsid w:val="00CB74E1"/>
    <w:rsid w:val="00CB7C82"/>
    <w:rsid w:val="00CC37A8"/>
    <w:rsid w:val="00CC5B14"/>
    <w:rsid w:val="00CD6A03"/>
    <w:rsid w:val="00CE4124"/>
    <w:rsid w:val="00CE7A52"/>
    <w:rsid w:val="00CF2D9C"/>
    <w:rsid w:val="00CF6683"/>
    <w:rsid w:val="00CF69EE"/>
    <w:rsid w:val="00D00242"/>
    <w:rsid w:val="00D041D1"/>
    <w:rsid w:val="00D04A13"/>
    <w:rsid w:val="00D065AF"/>
    <w:rsid w:val="00D0689F"/>
    <w:rsid w:val="00D1063F"/>
    <w:rsid w:val="00D12974"/>
    <w:rsid w:val="00D20940"/>
    <w:rsid w:val="00D2387F"/>
    <w:rsid w:val="00D24BD1"/>
    <w:rsid w:val="00D24DD7"/>
    <w:rsid w:val="00D25D52"/>
    <w:rsid w:val="00D26044"/>
    <w:rsid w:val="00D322FD"/>
    <w:rsid w:val="00D34700"/>
    <w:rsid w:val="00D34975"/>
    <w:rsid w:val="00D34C97"/>
    <w:rsid w:val="00D40355"/>
    <w:rsid w:val="00D432C4"/>
    <w:rsid w:val="00D47E9B"/>
    <w:rsid w:val="00D508CA"/>
    <w:rsid w:val="00D50C49"/>
    <w:rsid w:val="00D51782"/>
    <w:rsid w:val="00D51FC6"/>
    <w:rsid w:val="00D52B8D"/>
    <w:rsid w:val="00D52E86"/>
    <w:rsid w:val="00D64CA4"/>
    <w:rsid w:val="00D6653C"/>
    <w:rsid w:val="00D706CD"/>
    <w:rsid w:val="00D71695"/>
    <w:rsid w:val="00D728E4"/>
    <w:rsid w:val="00D757B5"/>
    <w:rsid w:val="00D770D9"/>
    <w:rsid w:val="00D81EC7"/>
    <w:rsid w:val="00D85F14"/>
    <w:rsid w:val="00D863B5"/>
    <w:rsid w:val="00D91840"/>
    <w:rsid w:val="00D9281E"/>
    <w:rsid w:val="00DA0F7A"/>
    <w:rsid w:val="00DA6812"/>
    <w:rsid w:val="00DB182A"/>
    <w:rsid w:val="00DB2109"/>
    <w:rsid w:val="00DB4AAB"/>
    <w:rsid w:val="00DB74E1"/>
    <w:rsid w:val="00DB7B02"/>
    <w:rsid w:val="00DB7C16"/>
    <w:rsid w:val="00DC0E32"/>
    <w:rsid w:val="00DC1B64"/>
    <w:rsid w:val="00DC687A"/>
    <w:rsid w:val="00DE262B"/>
    <w:rsid w:val="00DE3AB1"/>
    <w:rsid w:val="00DE78C0"/>
    <w:rsid w:val="00DF03E9"/>
    <w:rsid w:val="00DF1B94"/>
    <w:rsid w:val="00E02053"/>
    <w:rsid w:val="00E108AB"/>
    <w:rsid w:val="00E11D2B"/>
    <w:rsid w:val="00E123A5"/>
    <w:rsid w:val="00E132F5"/>
    <w:rsid w:val="00E23724"/>
    <w:rsid w:val="00E257D3"/>
    <w:rsid w:val="00E26983"/>
    <w:rsid w:val="00E272EC"/>
    <w:rsid w:val="00E31229"/>
    <w:rsid w:val="00E333D9"/>
    <w:rsid w:val="00E402D9"/>
    <w:rsid w:val="00E40D58"/>
    <w:rsid w:val="00E50CB1"/>
    <w:rsid w:val="00E51783"/>
    <w:rsid w:val="00E73057"/>
    <w:rsid w:val="00E82CFD"/>
    <w:rsid w:val="00E8385E"/>
    <w:rsid w:val="00E91925"/>
    <w:rsid w:val="00EA2AEC"/>
    <w:rsid w:val="00EA583B"/>
    <w:rsid w:val="00EA5F99"/>
    <w:rsid w:val="00EA5FFE"/>
    <w:rsid w:val="00EB28BC"/>
    <w:rsid w:val="00EB57B7"/>
    <w:rsid w:val="00EC28BD"/>
    <w:rsid w:val="00ED3D20"/>
    <w:rsid w:val="00ED64B1"/>
    <w:rsid w:val="00ED686E"/>
    <w:rsid w:val="00EE06FC"/>
    <w:rsid w:val="00EE3119"/>
    <w:rsid w:val="00EE38BC"/>
    <w:rsid w:val="00EF02C7"/>
    <w:rsid w:val="00EF307C"/>
    <w:rsid w:val="00EF7269"/>
    <w:rsid w:val="00EF7C85"/>
    <w:rsid w:val="00F0531E"/>
    <w:rsid w:val="00F26629"/>
    <w:rsid w:val="00F35508"/>
    <w:rsid w:val="00F42B9A"/>
    <w:rsid w:val="00F4612E"/>
    <w:rsid w:val="00F46F0B"/>
    <w:rsid w:val="00F50910"/>
    <w:rsid w:val="00F546AD"/>
    <w:rsid w:val="00F57866"/>
    <w:rsid w:val="00F57CF9"/>
    <w:rsid w:val="00F57DC4"/>
    <w:rsid w:val="00F71B7B"/>
    <w:rsid w:val="00F744BF"/>
    <w:rsid w:val="00F75DE0"/>
    <w:rsid w:val="00F8049D"/>
    <w:rsid w:val="00F8211C"/>
    <w:rsid w:val="00F874D8"/>
    <w:rsid w:val="00F943B5"/>
    <w:rsid w:val="00FA0702"/>
    <w:rsid w:val="00FA074B"/>
    <w:rsid w:val="00FA602E"/>
    <w:rsid w:val="00FB15A3"/>
    <w:rsid w:val="00FB52E1"/>
    <w:rsid w:val="00FB6B59"/>
    <w:rsid w:val="00FC0728"/>
    <w:rsid w:val="00FC0A72"/>
    <w:rsid w:val="00FC1697"/>
    <w:rsid w:val="00FC210C"/>
    <w:rsid w:val="00FC3565"/>
    <w:rsid w:val="00FC3EE0"/>
    <w:rsid w:val="00FC75CE"/>
    <w:rsid w:val="00FD5175"/>
    <w:rsid w:val="00FE25F2"/>
    <w:rsid w:val="00FE2E40"/>
    <w:rsid w:val="00FE3A11"/>
    <w:rsid w:val="00FE515F"/>
    <w:rsid w:val="00FE6419"/>
    <w:rsid w:val="00FE6972"/>
    <w:rsid w:val="00FF4704"/>
    <w:rsid w:val="00FF4B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exac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pacing w:line="360" w:lineRule="auto"/>
    </w:pPr>
    <w:rPr>
      <w:sz w:val="16"/>
    </w:rPr>
  </w:style>
  <w:style w:type="paragraph" w:styleId="a4">
    <w:name w:val="footer"/>
    <w:basedOn w:val="a"/>
    <w:link w:val="a5"/>
    <w:uiPriority w:val="99"/>
    <w:pPr>
      <w:tabs>
        <w:tab w:val="center" w:pos="4153"/>
        <w:tab w:val="right" w:pos="8306"/>
      </w:tabs>
      <w:spacing w:line="360" w:lineRule="auto"/>
    </w:pPr>
    <w:rPr>
      <w:sz w:val="16"/>
    </w:rPr>
  </w:style>
  <w:style w:type="paragraph" w:styleId="a6">
    <w:name w:val="Body Text Indent"/>
    <w:basedOn w:val="a"/>
    <w:pPr>
      <w:spacing w:line="480" w:lineRule="atLeast"/>
      <w:ind w:left="1320" w:hanging="960"/>
      <w:textDirection w:val="lrTbV"/>
    </w:pPr>
    <w:rPr>
      <w:rFonts w:ascii="華康楷書體W5" w:eastAsia="華康楷書體W5"/>
      <w:sz w:val="32"/>
    </w:rPr>
  </w:style>
  <w:style w:type="paragraph" w:styleId="2">
    <w:name w:val="Body Text Indent 2"/>
    <w:basedOn w:val="a"/>
    <w:pPr>
      <w:spacing w:line="480" w:lineRule="atLeast"/>
      <w:ind w:left="1320" w:hanging="840"/>
      <w:textDirection w:val="lrTbV"/>
    </w:pPr>
    <w:rPr>
      <w:rFonts w:ascii="華康楷書體W5" w:eastAsia="華康楷書體W5"/>
      <w:sz w:val="32"/>
    </w:rPr>
  </w:style>
  <w:style w:type="paragraph" w:styleId="3">
    <w:name w:val="Body Text Indent 3"/>
    <w:basedOn w:val="a"/>
    <w:pPr>
      <w:spacing w:line="480" w:lineRule="atLeast"/>
      <w:ind w:left="720" w:hanging="360"/>
      <w:textDirection w:val="lrTbV"/>
    </w:pPr>
    <w:rPr>
      <w:rFonts w:eastAsia="標楷體"/>
      <w:sz w:val="32"/>
    </w:rPr>
  </w:style>
  <w:style w:type="paragraph" w:styleId="a7">
    <w:name w:val="Block Text"/>
    <w:basedOn w:val="a"/>
    <w:pPr>
      <w:adjustRightInd/>
      <w:spacing w:line="240" w:lineRule="auto"/>
      <w:ind w:left="1080" w:right="-327" w:hanging="1440"/>
      <w:textAlignment w:val="auto"/>
    </w:pPr>
    <w:rPr>
      <w:rFonts w:eastAsia="標楷體"/>
      <w:kern w:val="2"/>
    </w:rPr>
  </w:style>
  <w:style w:type="paragraph" w:customStyle="1" w:styleId="a8">
    <w:name w:val="壹目"/>
    <w:basedOn w:val="a"/>
    <w:pPr>
      <w:tabs>
        <w:tab w:val="right" w:leader="middleDot" w:pos="9000"/>
      </w:tabs>
      <w:spacing w:before="120" w:after="120" w:line="240" w:lineRule="auto"/>
      <w:outlineLvl w:val="0"/>
    </w:pPr>
    <w:rPr>
      <w:rFonts w:ascii="華康楷書體W5" w:eastAsia="華康楷書體W5" w:hAnsi="CG Times"/>
      <w:b/>
      <w:sz w:val="32"/>
    </w:rPr>
  </w:style>
  <w:style w:type="paragraph" w:styleId="a9">
    <w:name w:val="Plain Text"/>
    <w:basedOn w:val="a"/>
    <w:pPr>
      <w:adjustRightInd/>
      <w:spacing w:line="240" w:lineRule="auto"/>
      <w:textAlignment w:val="auto"/>
    </w:pPr>
    <w:rPr>
      <w:rFonts w:ascii="細明體" w:hAnsi="Courier New"/>
      <w:kern w:val="2"/>
    </w:rPr>
  </w:style>
  <w:style w:type="paragraph" w:styleId="aa">
    <w:name w:val="Body Text"/>
    <w:basedOn w:val="a"/>
    <w:pPr>
      <w:adjustRightInd/>
      <w:spacing w:line="240" w:lineRule="auto"/>
      <w:jc w:val="both"/>
      <w:textAlignment w:val="auto"/>
    </w:pPr>
    <w:rPr>
      <w:rFonts w:ascii="標楷體" w:eastAsia="標楷體" w:hAnsi="標楷體"/>
      <w:kern w:val="2"/>
    </w:rPr>
  </w:style>
  <w:style w:type="paragraph" w:customStyle="1" w:styleId="1">
    <w:name w:val="1."/>
    <w:basedOn w:val="a"/>
    <w:pPr>
      <w:spacing w:before="120" w:after="120" w:line="240" w:lineRule="auto"/>
      <w:ind w:left="1038" w:hanging="318"/>
      <w:jc w:val="both"/>
    </w:pPr>
    <w:rPr>
      <w:rFonts w:ascii="華康楷書體W5" w:eastAsia="華康楷書體W5" w:hAnsi="CG Times"/>
      <w:sz w:val="32"/>
    </w:rPr>
  </w:style>
  <w:style w:type="paragraph" w:customStyle="1" w:styleId="ab">
    <w:name w:val="(一)標"/>
    <w:basedOn w:val="a"/>
    <w:pPr>
      <w:spacing w:before="120" w:after="120" w:line="240" w:lineRule="auto"/>
      <w:ind w:left="1321" w:hanging="839"/>
      <w:jc w:val="both"/>
      <w:outlineLvl w:val="0"/>
    </w:pPr>
    <w:rPr>
      <w:rFonts w:ascii="華康楷書體W5" w:eastAsia="華康楷書體W5" w:hAnsi="CG Times"/>
      <w:b/>
      <w:sz w:val="32"/>
    </w:rPr>
  </w:style>
  <w:style w:type="paragraph" w:styleId="20">
    <w:name w:val="Body Text 2"/>
    <w:basedOn w:val="a"/>
    <w:pPr>
      <w:jc w:val="both"/>
    </w:pPr>
    <w:rPr>
      <w:rFonts w:eastAsia="標楷體"/>
      <w:color w:val="000000"/>
    </w:rPr>
  </w:style>
  <w:style w:type="paragraph" w:styleId="ac">
    <w:name w:val="Balloon Text"/>
    <w:basedOn w:val="a"/>
    <w:semiHidden/>
    <w:rsid w:val="004E5DF2"/>
    <w:rPr>
      <w:rFonts w:ascii="Arial" w:eastAsia="新細明體" w:hAnsi="Arial"/>
      <w:sz w:val="18"/>
      <w:szCs w:val="18"/>
    </w:rPr>
  </w:style>
  <w:style w:type="paragraph" w:customStyle="1" w:styleId="ad">
    <w:name w:val="方針標題"/>
    <w:rsid w:val="003D03C6"/>
    <w:pPr>
      <w:spacing w:after="50" w:line="600" w:lineRule="exact"/>
      <w:ind w:firstLine="200"/>
      <w:jc w:val="both"/>
      <w:textDirection w:val="lrTbV"/>
      <w:textAlignment w:val="center"/>
    </w:pPr>
    <w:rPr>
      <w:rFonts w:ascii="標楷體" w:eastAsia="標楷體" w:hAnsi="MS Serif"/>
      <w:b/>
      <w:sz w:val="48"/>
    </w:rPr>
  </w:style>
  <w:style w:type="paragraph" w:customStyle="1" w:styleId="ae">
    <w:name w:val="字元"/>
    <w:basedOn w:val="a"/>
    <w:rsid w:val="00E40D58"/>
    <w:pPr>
      <w:widowControl/>
      <w:adjustRightInd/>
      <w:spacing w:after="160" w:line="240" w:lineRule="exact"/>
      <w:textAlignment w:val="auto"/>
    </w:pPr>
    <w:rPr>
      <w:rFonts w:ascii="Tahoma" w:eastAsia="新細明體" w:hAnsi="Tahoma"/>
      <w:sz w:val="20"/>
      <w:lang w:eastAsia="en-US"/>
    </w:rPr>
  </w:style>
  <w:style w:type="paragraph" w:styleId="Web">
    <w:name w:val="Normal (Web)"/>
    <w:basedOn w:val="a"/>
    <w:uiPriority w:val="99"/>
    <w:rsid w:val="00E40D58"/>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customStyle="1" w:styleId="Content1">
    <w:name w:val="Content_(1)"/>
    <w:basedOn w:val="a"/>
    <w:rsid w:val="0066436F"/>
    <w:pPr>
      <w:snapToGrid w:val="0"/>
      <w:spacing w:before="120" w:after="120" w:line="400" w:lineRule="exact"/>
      <w:ind w:leftChars="345" w:firstLineChars="200" w:firstLine="560"/>
      <w:jc w:val="both"/>
      <w:textAlignment w:val="auto"/>
    </w:pPr>
    <w:rPr>
      <w:rFonts w:eastAsia="標楷體"/>
      <w:sz w:val="28"/>
    </w:rPr>
  </w:style>
  <w:style w:type="character" w:customStyle="1" w:styleId="apple-converted-space">
    <w:name w:val="apple-converted-space"/>
    <w:basedOn w:val="a0"/>
    <w:rsid w:val="00616F61"/>
  </w:style>
  <w:style w:type="character" w:customStyle="1" w:styleId="usercontent">
    <w:name w:val="usercontent"/>
    <w:basedOn w:val="a0"/>
    <w:rsid w:val="00616F61"/>
  </w:style>
  <w:style w:type="character" w:customStyle="1" w:styleId="a5">
    <w:name w:val="頁尾 字元"/>
    <w:link w:val="a4"/>
    <w:uiPriority w:val="99"/>
    <w:rsid w:val="00B40F5B"/>
    <w:rPr>
      <w:sz w:val="16"/>
    </w:rPr>
  </w:style>
  <w:style w:type="paragraph" w:customStyle="1" w:styleId="Textbody">
    <w:name w:val="Text body"/>
    <w:rsid w:val="00AB2672"/>
    <w:pPr>
      <w:suppressAutoHyphens/>
      <w:autoSpaceDN w:val="0"/>
      <w:textAlignment w:val="baseline"/>
    </w:pPr>
    <w:rPr>
      <w:rFonts w:eastAsia="新細明體"/>
      <w:sz w:val="24"/>
      <w:szCs w:val="24"/>
      <w:lang w:eastAsia="en-US"/>
    </w:rPr>
  </w:style>
  <w:style w:type="paragraph" w:styleId="af">
    <w:name w:val="List Paragraph"/>
    <w:basedOn w:val="a"/>
    <w:uiPriority w:val="34"/>
    <w:qFormat/>
    <w:rsid w:val="002D3E1D"/>
    <w:pPr>
      <w:widowControl/>
      <w:adjustRightInd/>
      <w:spacing w:line="240" w:lineRule="auto"/>
      <w:ind w:leftChars="200" w:left="480"/>
      <w:textAlignment w:val="auto"/>
    </w:pPr>
    <w:rPr>
      <w:rFonts w:eastAsia="新細明體"/>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088">
      <w:bodyDiv w:val="1"/>
      <w:marLeft w:val="0"/>
      <w:marRight w:val="0"/>
      <w:marTop w:val="0"/>
      <w:marBottom w:val="0"/>
      <w:divBdr>
        <w:top w:val="none" w:sz="0" w:space="0" w:color="auto"/>
        <w:left w:val="none" w:sz="0" w:space="0" w:color="auto"/>
        <w:bottom w:val="none" w:sz="0" w:space="0" w:color="auto"/>
        <w:right w:val="none" w:sz="0" w:space="0" w:color="auto"/>
      </w:divBdr>
    </w:div>
    <w:div w:id="23286761">
      <w:bodyDiv w:val="1"/>
      <w:marLeft w:val="0"/>
      <w:marRight w:val="0"/>
      <w:marTop w:val="0"/>
      <w:marBottom w:val="0"/>
      <w:divBdr>
        <w:top w:val="none" w:sz="0" w:space="0" w:color="auto"/>
        <w:left w:val="none" w:sz="0" w:space="0" w:color="auto"/>
        <w:bottom w:val="none" w:sz="0" w:space="0" w:color="auto"/>
        <w:right w:val="none" w:sz="0" w:space="0" w:color="auto"/>
      </w:divBdr>
    </w:div>
    <w:div w:id="46608394">
      <w:bodyDiv w:val="1"/>
      <w:marLeft w:val="0"/>
      <w:marRight w:val="0"/>
      <w:marTop w:val="0"/>
      <w:marBottom w:val="0"/>
      <w:divBdr>
        <w:top w:val="none" w:sz="0" w:space="0" w:color="auto"/>
        <w:left w:val="none" w:sz="0" w:space="0" w:color="auto"/>
        <w:bottom w:val="none" w:sz="0" w:space="0" w:color="auto"/>
        <w:right w:val="none" w:sz="0" w:space="0" w:color="auto"/>
      </w:divBdr>
    </w:div>
    <w:div w:id="70852213">
      <w:bodyDiv w:val="1"/>
      <w:marLeft w:val="0"/>
      <w:marRight w:val="0"/>
      <w:marTop w:val="0"/>
      <w:marBottom w:val="0"/>
      <w:divBdr>
        <w:top w:val="none" w:sz="0" w:space="0" w:color="auto"/>
        <w:left w:val="none" w:sz="0" w:space="0" w:color="auto"/>
        <w:bottom w:val="none" w:sz="0" w:space="0" w:color="auto"/>
        <w:right w:val="none" w:sz="0" w:space="0" w:color="auto"/>
      </w:divBdr>
    </w:div>
    <w:div w:id="71122420">
      <w:bodyDiv w:val="1"/>
      <w:marLeft w:val="0"/>
      <w:marRight w:val="0"/>
      <w:marTop w:val="0"/>
      <w:marBottom w:val="0"/>
      <w:divBdr>
        <w:top w:val="none" w:sz="0" w:space="0" w:color="auto"/>
        <w:left w:val="none" w:sz="0" w:space="0" w:color="auto"/>
        <w:bottom w:val="none" w:sz="0" w:space="0" w:color="auto"/>
        <w:right w:val="none" w:sz="0" w:space="0" w:color="auto"/>
      </w:divBdr>
    </w:div>
    <w:div w:id="110825595">
      <w:bodyDiv w:val="1"/>
      <w:marLeft w:val="0"/>
      <w:marRight w:val="0"/>
      <w:marTop w:val="0"/>
      <w:marBottom w:val="0"/>
      <w:divBdr>
        <w:top w:val="none" w:sz="0" w:space="0" w:color="auto"/>
        <w:left w:val="none" w:sz="0" w:space="0" w:color="auto"/>
        <w:bottom w:val="none" w:sz="0" w:space="0" w:color="auto"/>
        <w:right w:val="none" w:sz="0" w:space="0" w:color="auto"/>
      </w:divBdr>
    </w:div>
    <w:div w:id="171339967">
      <w:bodyDiv w:val="1"/>
      <w:marLeft w:val="0"/>
      <w:marRight w:val="0"/>
      <w:marTop w:val="0"/>
      <w:marBottom w:val="0"/>
      <w:divBdr>
        <w:top w:val="none" w:sz="0" w:space="0" w:color="auto"/>
        <w:left w:val="none" w:sz="0" w:space="0" w:color="auto"/>
        <w:bottom w:val="none" w:sz="0" w:space="0" w:color="auto"/>
        <w:right w:val="none" w:sz="0" w:space="0" w:color="auto"/>
      </w:divBdr>
    </w:div>
    <w:div w:id="186406695">
      <w:bodyDiv w:val="1"/>
      <w:marLeft w:val="0"/>
      <w:marRight w:val="0"/>
      <w:marTop w:val="0"/>
      <w:marBottom w:val="0"/>
      <w:divBdr>
        <w:top w:val="none" w:sz="0" w:space="0" w:color="auto"/>
        <w:left w:val="none" w:sz="0" w:space="0" w:color="auto"/>
        <w:bottom w:val="none" w:sz="0" w:space="0" w:color="auto"/>
        <w:right w:val="none" w:sz="0" w:space="0" w:color="auto"/>
      </w:divBdr>
    </w:div>
    <w:div w:id="221524381">
      <w:bodyDiv w:val="1"/>
      <w:marLeft w:val="0"/>
      <w:marRight w:val="0"/>
      <w:marTop w:val="0"/>
      <w:marBottom w:val="0"/>
      <w:divBdr>
        <w:top w:val="none" w:sz="0" w:space="0" w:color="auto"/>
        <w:left w:val="none" w:sz="0" w:space="0" w:color="auto"/>
        <w:bottom w:val="none" w:sz="0" w:space="0" w:color="auto"/>
        <w:right w:val="none" w:sz="0" w:space="0" w:color="auto"/>
      </w:divBdr>
    </w:div>
    <w:div w:id="237911436">
      <w:bodyDiv w:val="1"/>
      <w:marLeft w:val="0"/>
      <w:marRight w:val="0"/>
      <w:marTop w:val="0"/>
      <w:marBottom w:val="0"/>
      <w:divBdr>
        <w:top w:val="none" w:sz="0" w:space="0" w:color="auto"/>
        <w:left w:val="none" w:sz="0" w:space="0" w:color="auto"/>
        <w:bottom w:val="none" w:sz="0" w:space="0" w:color="auto"/>
        <w:right w:val="none" w:sz="0" w:space="0" w:color="auto"/>
      </w:divBdr>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411584971">
      <w:bodyDiv w:val="1"/>
      <w:marLeft w:val="0"/>
      <w:marRight w:val="0"/>
      <w:marTop w:val="0"/>
      <w:marBottom w:val="0"/>
      <w:divBdr>
        <w:top w:val="none" w:sz="0" w:space="0" w:color="auto"/>
        <w:left w:val="none" w:sz="0" w:space="0" w:color="auto"/>
        <w:bottom w:val="none" w:sz="0" w:space="0" w:color="auto"/>
        <w:right w:val="none" w:sz="0" w:space="0" w:color="auto"/>
      </w:divBdr>
    </w:div>
    <w:div w:id="432482342">
      <w:bodyDiv w:val="1"/>
      <w:marLeft w:val="0"/>
      <w:marRight w:val="0"/>
      <w:marTop w:val="0"/>
      <w:marBottom w:val="0"/>
      <w:divBdr>
        <w:top w:val="none" w:sz="0" w:space="0" w:color="auto"/>
        <w:left w:val="none" w:sz="0" w:space="0" w:color="auto"/>
        <w:bottom w:val="none" w:sz="0" w:space="0" w:color="auto"/>
        <w:right w:val="none" w:sz="0" w:space="0" w:color="auto"/>
      </w:divBdr>
    </w:div>
    <w:div w:id="465587572">
      <w:bodyDiv w:val="1"/>
      <w:marLeft w:val="0"/>
      <w:marRight w:val="0"/>
      <w:marTop w:val="0"/>
      <w:marBottom w:val="0"/>
      <w:divBdr>
        <w:top w:val="none" w:sz="0" w:space="0" w:color="auto"/>
        <w:left w:val="none" w:sz="0" w:space="0" w:color="auto"/>
        <w:bottom w:val="none" w:sz="0" w:space="0" w:color="auto"/>
        <w:right w:val="none" w:sz="0" w:space="0" w:color="auto"/>
      </w:divBdr>
    </w:div>
    <w:div w:id="491874975">
      <w:bodyDiv w:val="1"/>
      <w:marLeft w:val="0"/>
      <w:marRight w:val="0"/>
      <w:marTop w:val="0"/>
      <w:marBottom w:val="0"/>
      <w:divBdr>
        <w:top w:val="none" w:sz="0" w:space="0" w:color="auto"/>
        <w:left w:val="none" w:sz="0" w:space="0" w:color="auto"/>
        <w:bottom w:val="none" w:sz="0" w:space="0" w:color="auto"/>
        <w:right w:val="none" w:sz="0" w:space="0" w:color="auto"/>
      </w:divBdr>
    </w:div>
    <w:div w:id="579827106">
      <w:bodyDiv w:val="1"/>
      <w:marLeft w:val="0"/>
      <w:marRight w:val="0"/>
      <w:marTop w:val="0"/>
      <w:marBottom w:val="0"/>
      <w:divBdr>
        <w:top w:val="none" w:sz="0" w:space="0" w:color="auto"/>
        <w:left w:val="none" w:sz="0" w:space="0" w:color="auto"/>
        <w:bottom w:val="none" w:sz="0" w:space="0" w:color="auto"/>
        <w:right w:val="none" w:sz="0" w:space="0" w:color="auto"/>
      </w:divBdr>
    </w:div>
    <w:div w:id="596138369">
      <w:bodyDiv w:val="1"/>
      <w:marLeft w:val="0"/>
      <w:marRight w:val="0"/>
      <w:marTop w:val="0"/>
      <w:marBottom w:val="0"/>
      <w:divBdr>
        <w:top w:val="none" w:sz="0" w:space="0" w:color="auto"/>
        <w:left w:val="none" w:sz="0" w:space="0" w:color="auto"/>
        <w:bottom w:val="none" w:sz="0" w:space="0" w:color="auto"/>
        <w:right w:val="none" w:sz="0" w:space="0" w:color="auto"/>
      </w:divBdr>
    </w:div>
    <w:div w:id="620651669">
      <w:bodyDiv w:val="1"/>
      <w:marLeft w:val="0"/>
      <w:marRight w:val="0"/>
      <w:marTop w:val="0"/>
      <w:marBottom w:val="0"/>
      <w:divBdr>
        <w:top w:val="none" w:sz="0" w:space="0" w:color="auto"/>
        <w:left w:val="none" w:sz="0" w:space="0" w:color="auto"/>
        <w:bottom w:val="none" w:sz="0" w:space="0" w:color="auto"/>
        <w:right w:val="none" w:sz="0" w:space="0" w:color="auto"/>
      </w:divBdr>
    </w:div>
    <w:div w:id="624970591">
      <w:bodyDiv w:val="1"/>
      <w:marLeft w:val="0"/>
      <w:marRight w:val="0"/>
      <w:marTop w:val="0"/>
      <w:marBottom w:val="0"/>
      <w:divBdr>
        <w:top w:val="none" w:sz="0" w:space="0" w:color="auto"/>
        <w:left w:val="none" w:sz="0" w:space="0" w:color="auto"/>
        <w:bottom w:val="none" w:sz="0" w:space="0" w:color="auto"/>
        <w:right w:val="none" w:sz="0" w:space="0" w:color="auto"/>
      </w:divBdr>
    </w:div>
    <w:div w:id="633410740">
      <w:bodyDiv w:val="1"/>
      <w:marLeft w:val="0"/>
      <w:marRight w:val="0"/>
      <w:marTop w:val="0"/>
      <w:marBottom w:val="0"/>
      <w:divBdr>
        <w:top w:val="none" w:sz="0" w:space="0" w:color="auto"/>
        <w:left w:val="none" w:sz="0" w:space="0" w:color="auto"/>
        <w:bottom w:val="none" w:sz="0" w:space="0" w:color="auto"/>
        <w:right w:val="none" w:sz="0" w:space="0" w:color="auto"/>
      </w:divBdr>
    </w:div>
    <w:div w:id="675301203">
      <w:bodyDiv w:val="1"/>
      <w:marLeft w:val="0"/>
      <w:marRight w:val="0"/>
      <w:marTop w:val="0"/>
      <w:marBottom w:val="0"/>
      <w:divBdr>
        <w:top w:val="none" w:sz="0" w:space="0" w:color="auto"/>
        <w:left w:val="none" w:sz="0" w:space="0" w:color="auto"/>
        <w:bottom w:val="none" w:sz="0" w:space="0" w:color="auto"/>
        <w:right w:val="none" w:sz="0" w:space="0" w:color="auto"/>
      </w:divBdr>
    </w:div>
    <w:div w:id="687416006">
      <w:bodyDiv w:val="1"/>
      <w:marLeft w:val="0"/>
      <w:marRight w:val="0"/>
      <w:marTop w:val="0"/>
      <w:marBottom w:val="0"/>
      <w:divBdr>
        <w:top w:val="none" w:sz="0" w:space="0" w:color="auto"/>
        <w:left w:val="none" w:sz="0" w:space="0" w:color="auto"/>
        <w:bottom w:val="none" w:sz="0" w:space="0" w:color="auto"/>
        <w:right w:val="none" w:sz="0" w:space="0" w:color="auto"/>
      </w:divBdr>
    </w:div>
    <w:div w:id="828866142">
      <w:bodyDiv w:val="1"/>
      <w:marLeft w:val="0"/>
      <w:marRight w:val="0"/>
      <w:marTop w:val="0"/>
      <w:marBottom w:val="0"/>
      <w:divBdr>
        <w:top w:val="none" w:sz="0" w:space="0" w:color="auto"/>
        <w:left w:val="none" w:sz="0" w:space="0" w:color="auto"/>
        <w:bottom w:val="none" w:sz="0" w:space="0" w:color="auto"/>
        <w:right w:val="none" w:sz="0" w:space="0" w:color="auto"/>
      </w:divBdr>
    </w:div>
    <w:div w:id="848759271">
      <w:bodyDiv w:val="1"/>
      <w:marLeft w:val="0"/>
      <w:marRight w:val="0"/>
      <w:marTop w:val="0"/>
      <w:marBottom w:val="0"/>
      <w:divBdr>
        <w:top w:val="none" w:sz="0" w:space="0" w:color="auto"/>
        <w:left w:val="none" w:sz="0" w:space="0" w:color="auto"/>
        <w:bottom w:val="none" w:sz="0" w:space="0" w:color="auto"/>
        <w:right w:val="none" w:sz="0" w:space="0" w:color="auto"/>
      </w:divBdr>
    </w:div>
    <w:div w:id="857088327">
      <w:bodyDiv w:val="1"/>
      <w:marLeft w:val="0"/>
      <w:marRight w:val="0"/>
      <w:marTop w:val="0"/>
      <w:marBottom w:val="0"/>
      <w:divBdr>
        <w:top w:val="none" w:sz="0" w:space="0" w:color="auto"/>
        <w:left w:val="none" w:sz="0" w:space="0" w:color="auto"/>
        <w:bottom w:val="none" w:sz="0" w:space="0" w:color="auto"/>
        <w:right w:val="none" w:sz="0" w:space="0" w:color="auto"/>
      </w:divBdr>
    </w:div>
    <w:div w:id="909269558">
      <w:bodyDiv w:val="1"/>
      <w:marLeft w:val="0"/>
      <w:marRight w:val="0"/>
      <w:marTop w:val="0"/>
      <w:marBottom w:val="0"/>
      <w:divBdr>
        <w:top w:val="none" w:sz="0" w:space="0" w:color="auto"/>
        <w:left w:val="none" w:sz="0" w:space="0" w:color="auto"/>
        <w:bottom w:val="none" w:sz="0" w:space="0" w:color="auto"/>
        <w:right w:val="none" w:sz="0" w:space="0" w:color="auto"/>
      </w:divBdr>
    </w:div>
    <w:div w:id="931352402">
      <w:bodyDiv w:val="1"/>
      <w:marLeft w:val="0"/>
      <w:marRight w:val="0"/>
      <w:marTop w:val="0"/>
      <w:marBottom w:val="0"/>
      <w:divBdr>
        <w:top w:val="none" w:sz="0" w:space="0" w:color="auto"/>
        <w:left w:val="none" w:sz="0" w:space="0" w:color="auto"/>
        <w:bottom w:val="none" w:sz="0" w:space="0" w:color="auto"/>
        <w:right w:val="none" w:sz="0" w:space="0" w:color="auto"/>
      </w:divBdr>
    </w:div>
    <w:div w:id="1010333542">
      <w:bodyDiv w:val="1"/>
      <w:marLeft w:val="0"/>
      <w:marRight w:val="0"/>
      <w:marTop w:val="0"/>
      <w:marBottom w:val="0"/>
      <w:divBdr>
        <w:top w:val="none" w:sz="0" w:space="0" w:color="auto"/>
        <w:left w:val="none" w:sz="0" w:space="0" w:color="auto"/>
        <w:bottom w:val="none" w:sz="0" w:space="0" w:color="auto"/>
        <w:right w:val="none" w:sz="0" w:space="0" w:color="auto"/>
      </w:divBdr>
    </w:div>
    <w:div w:id="1026515595">
      <w:bodyDiv w:val="1"/>
      <w:marLeft w:val="0"/>
      <w:marRight w:val="0"/>
      <w:marTop w:val="0"/>
      <w:marBottom w:val="0"/>
      <w:divBdr>
        <w:top w:val="none" w:sz="0" w:space="0" w:color="auto"/>
        <w:left w:val="none" w:sz="0" w:space="0" w:color="auto"/>
        <w:bottom w:val="none" w:sz="0" w:space="0" w:color="auto"/>
        <w:right w:val="none" w:sz="0" w:space="0" w:color="auto"/>
      </w:divBdr>
    </w:div>
    <w:div w:id="1039017232">
      <w:bodyDiv w:val="1"/>
      <w:marLeft w:val="0"/>
      <w:marRight w:val="0"/>
      <w:marTop w:val="0"/>
      <w:marBottom w:val="0"/>
      <w:divBdr>
        <w:top w:val="none" w:sz="0" w:space="0" w:color="auto"/>
        <w:left w:val="none" w:sz="0" w:space="0" w:color="auto"/>
        <w:bottom w:val="none" w:sz="0" w:space="0" w:color="auto"/>
        <w:right w:val="none" w:sz="0" w:space="0" w:color="auto"/>
      </w:divBdr>
    </w:div>
    <w:div w:id="1074428949">
      <w:bodyDiv w:val="1"/>
      <w:marLeft w:val="0"/>
      <w:marRight w:val="0"/>
      <w:marTop w:val="0"/>
      <w:marBottom w:val="0"/>
      <w:divBdr>
        <w:top w:val="none" w:sz="0" w:space="0" w:color="auto"/>
        <w:left w:val="none" w:sz="0" w:space="0" w:color="auto"/>
        <w:bottom w:val="none" w:sz="0" w:space="0" w:color="auto"/>
        <w:right w:val="none" w:sz="0" w:space="0" w:color="auto"/>
      </w:divBdr>
    </w:div>
    <w:div w:id="1094058172">
      <w:bodyDiv w:val="1"/>
      <w:marLeft w:val="0"/>
      <w:marRight w:val="0"/>
      <w:marTop w:val="0"/>
      <w:marBottom w:val="0"/>
      <w:divBdr>
        <w:top w:val="none" w:sz="0" w:space="0" w:color="auto"/>
        <w:left w:val="none" w:sz="0" w:space="0" w:color="auto"/>
        <w:bottom w:val="none" w:sz="0" w:space="0" w:color="auto"/>
        <w:right w:val="none" w:sz="0" w:space="0" w:color="auto"/>
      </w:divBdr>
    </w:div>
    <w:div w:id="1182475076">
      <w:bodyDiv w:val="1"/>
      <w:marLeft w:val="0"/>
      <w:marRight w:val="0"/>
      <w:marTop w:val="0"/>
      <w:marBottom w:val="0"/>
      <w:divBdr>
        <w:top w:val="none" w:sz="0" w:space="0" w:color="auto"/>
        <w:left w:val="none" w:sz="0" w:space="0" w:color="auto"/>
        <w:bottom w:val="none" w:sz="0" w:space="0" w:color="auto"/>
        <w:right w:val="none" w:sz="0" w:space="0" w:color="auto"/>
      </w:divBdr>
    </w:div>
    <w:div w:id="1200627458">
      <w:bodyDiv w:val="1"/>
      <w:marLeft w:val="0"/>
      <w:marRight w:val="0"/>
      <w:marTop w:val="0"/>
      <w:marBottom w:val="0"/>
      <w:divBdr>
        <w:top w:val="none" w:sz="0" w:space="0" w:color="auto"/>
        <w:left w:val="none" w:sz="0" w:space="0" w:color="auto"/>
        <w:bottom w:val="none" w:sz="0" w:space="0" w:color="auto"/>
        <w:right w:val="none" w:sz="0" w:space="0" w:color="auto"/>
      </w:divBdr>
    </w:div>
    <w:div w:id="1206481323">
      <w:bodyDiv w:val="1"/>
      <w:marLeft w:val="0"/>
      <w:marRight w:val="0"/>
      <w:marTop w:val="0"/>
      <w:marBottom w:val="0"/>
      <w:divBdr>
        <w:top w:val="none" w:sz="0" w:space="0" w:color="auto"/>
        <w:left w:val="none" w:sz="0" w:space="0" w:color="auto"/>
        <w:bottom w:val="none" w:sz="0" w:space="0" w:color="auto"/>
        <w:right w:val="none" w:sz="0" w:space="0" w:color="auto"/>
      </w:divBdr>
    </w:div>
    <w:div w:id="1234048160">
      <w:bodyDiv w:val="1"/>
      <w:marLeft w:val="0"/>
      <w:marRight w:val="0"/>
      <w:marTop w:val="0"/>
      <w:marBottom w:val="0"/>
      <w:divBdr>
        <w:top w:val="none" w:sz="0" w:space="0" w:color="auto"/>
        <w:left w:val="none" w:sz="0" w:space="0" w:color="auto"/>
        <w:bottom w:val="none" w:sz="0" w:space="0" w:color="auto"/>
        <w:right w:val="none" w:sz="0" w:space="0" w:color="auto"/>
      </w:divBdr>
    </w:div>
    <w:div w:id="1331519909">
      <w:bodyDiv w:val="1"/>
      <w:marLeft w:val="0"/>
      <w:marRight w:val="0"/>
      <w:marTop w:val="0"/>
      <w:marBottom w:val="0"/>
      <w:divBdr>
        <w:top w:val="none" w:sz="0" w:space="0" w:color="auto"/>
        <w:left w:val="none" w:sz="0" w:space="0" w:color="auto"/>
        <w:bottom w:val="none" w:sz="0" w:space="0" w:color="auto"/>
        <w:right w:val="none" w:sz="0" w:space="0" w:color="auto"/>
      </w:divBdr>
    </w:div>
    <w:div w:id="1405251062">
      <w:bodyDiv w:val="1"/>
      <w:marLeft w:val="0"/>
      <w:marRight w:val="0"/>
      <w:marTop w:val="0"/>
      <w:marBottom w:val="0"/>
      <w:divBdr>
        <w:top w:val="none" w:sz="0" w:space="0" w:color="auto"/>
        <w:left w:val="none" w:sz="0" w:space="0" w:color="auto"/>
        <w:bottom w:val="none" w:sz="0" w:space="0" w:color="auto"/>
        <w:right w:val="none" w:sz="0" w:space="0" w:color="auto"/>
      </w:divBdr>
    </w:div>
    <w:div w:id="1413812673">
      <w:bodyDiv w:val="1"/>
      <w:marLeft w:val="0"/>
      <w:marRight w:val="0"/>
      <w:marTop w:val="0"/>
      <w:marBottom w:val="0"/>
      <w:divBdr>
        <w:top w:val="none" w:sz="0" w:space="0" w:color="auto"/>
        <w:left w:val="none" w:sz="0" w:space="0" w:color="auto"/>
        <w:bottom w:val="none" w:sz="0" w:space="0" w:color="auto"/>
        <w:right w:val="none" w:sz="0" w:space="0" w:color="auto"/>
      </w:divBdr>
    </w:div>
    <w:div w:id="1454785691">
      <w:bodyDiv w:val="1"/>
      <w:marLeft w:val="0"/>
      <w:marRight w:val="0"/>
      <w:marTop w:val="0"/>
      <w:marBottom w:val="0"/>
      <w:divBdr>
        <w:top w:val="none" w:sz="0" w:space="0" w:color="auto"/>
        <w:left w:val="none" w:sz="0" w:space="0" w:color="auto"/>
        <w:bottom w:val="none" w:sz="0" w:space="0" w:color="auto"/>
        <w:right w:val="none" w:sz="0" w:space="0" w:color="auto"/>
      </w:divBdr>
    </w:div>
    <w:div w:id="1507331119">
      <w:bodyDiv w:val="1"/>
      <w:marLeft w:val="0"/>
      <w:marRight w:val="0"/>
      <w:marTop w:val="0"/>
      <w:marBottom w:val="0"/>
      <w:divBdr>
        <w:top w:val="none" w:sz="0" w:space="0" w:color="auto"/>
        <w:left w:val="none" w:sz="0" w:space="0" w:color="auto"/>
        <w:bottom w:val="none" w:sz="0" w:space="0" w:color="auto"/>
        <w:right w:val="none" w:sz="0" w:space="0" w:color="auto"/>
      </w:divBdr>
    </w:div>
    <w:div w:id="1532769504">
      <w:bodyDiv w:val="1"/>
      <w:marLeft w:val="0"/>
      <w:marRight w:val="0"/>
      <w:marTop w:val="0"/>
      <w:marBottom w:val="0"/>
      <w:divBdr>
        <w:top w:val="none" w:sz="0" w:space="0" w:color="auto"/>
        <w:left w:val="none" w:sz="0" w:space="0" w:color="auto"/>
        <w:bottom w:val="none" w:sz="0" w:space="0" w:color="auto"/>
        <w:right w:val="none" w:sz="0" w:space="0" w:color="auto"/>
      </w:divBdr>
    </w:div>
    <w:div w:id="1544832979">
      <w:bodyDiv w:val="1"/>
      <w:marLeft w:val="0"/>
      <w:marRight w:val="0"/>
      <w:marTop w:val="0"/>
      <w:marBottom w:val="0"/>
      <w:divBdr>
        <w:top w:val="none" w:sz="0" w:space="0" w:color="auto"/>
        <w:left w:val="none" w:sz="0" w:space="0" w:color="auto"/>
        <w:bottom w:val="none" w:sz="0" w:space="0" w:color="auto"/>
        <w:right w:val="none" w:sz="0" w:space="0" w:color="auto"/>
      </w:divBdr>
    </w:div>
    <w:div w:id="1552225455">
      <w:bodyDiv w:val="1"/>
      <w:marLeft w:val="0"/>
      <w:marRight w:val="0"/>
      <w:marTop w:val="0"/>
      <w:marBottom w:val="0"/>
      <w:divBdr>
        <w:top w:val="none" w:sz="0" w:space="0" w:color="auto"/>
        <w:left w:val="none" w:sz="0" w:space="0" w:color="auto"/>
        <w:bottom w:val="none" w:sz="0" w:space="0" w:color="auto"/>
        <w:right w:val="none" w:sz="0" w:space="0" w:color="auto"/>
      </w:divBdr>
    </w:div>
    <w:div w:id="1558543869">
      <w:bodyDiv w:val="1"/>
      <w:marLeft w:val="0"/>
      <w:marRight w:val="0"/>
      <w:marTop w:val="0"/>
      <w:marBottom w:val="0"/>
      <w:divBdr>
        <w:top w:val="none" w:sz="0" w:space="0" w:color="auto"/>
        <w:left w:val="none" w:sz="0" w:space="0" w:color="auto"/>
        <w:bottom w:val="none" w:sz="0" w:space="0" w:color="auto"/>
        <w:right w:val="none" w:sz="0" w:space="0" w:color="auto"/>
      </w:divBdr>
    </w:div>
    <w:div w:id="1577665729">
      <w:bodyDiv w:val="1"/>
      <w:marLeft w:val="0"/>
      <w:marRight w:val="0"/>
      <w:marTop w:val="0"/>
      <w:marBottom w:val="0"/>
      <w:divBdr>
        <w:top w:val="none" w:sz="0" w:space="0" w:color="auto"/>
        <w:left w:val="none" w:sz="0" w:space="0" w:color="auto"/>
        <w:bottom w:val="none" w:sz="0" w:space="0" w:color="auto"/>
        <w:right w:val="none" w:sz="0" w:space="0" w:color="auto"/>
      </w:divBdr>
    </w:div>
    <w:div w:id="1580945625">
      <w:bodyDiv w:val="1"/>
      <w:marLeft w:val="0"/>
      <w:marRight w:val="0"/>
      <w:marTop w:val="0"/>
      <w:marBottom w:val="0"/>
      <w:divBdr>
        <w:top w:val="none" w:sz="0" w:space="0" w:color="auto"/>
        <w:left w:val="none" w:sz="0" w:space="0" w:color="auto"/>
        <w:bottom w:val="none" w:sz="0" w:space="0" w:color="auto"/>
        <w:right w:val="none" w:sz="0" w:space="0" w:color="auto"/>
      </w:divBdr>
    </w:div>
    <w:div w:id="1624076748">
      <w:bodyDiv w:val="1"/>
      <w:marLeft w:val="0"/>
      <w:marRight w:val="0"/>
      <w:marTop w:val="0"/>
      <w:marBottom w:val="0"/>
      <w:divBdr>
        <w:top w:val="none" w:sz="0" w:space="0" w:color="auto"/>
        <w:left w:val="none" w:sz="0" w:space="0" w:color="auto"/>
        <w:bottom w:val="none" w:sz="0" w:space="0" w:color="auto"/>
        <w:right w:val="none" w:sz="0" w:space="0" w:color="auto"/>
      </w:divBdr>
    </w:div>
    <w:div w:id="1646154257">
      <w:bodyDiv w:val="1"/>
      <w:marLeft w:val="0"/>
      <w:marRight w:val="0"/>
      <w:marTop w:val="0"/>
      <w:marBottom w:val="0"/>
      <w:divBdr>
        <w:top w:val="none" w:sz="0" w:space="0" w:color="auto"/>
        <w:left w:val="none" w:sz="0" w:space="0" w:color="auto"/>
        <w:bottom w:val="none" w:sz="0" w:space="0" w:color="auto"/>
        <w:right w:val="none" w:sz="0" w:space="0" w:color="auto"/>
      </w:divBdr>
    </w:div>
    <w:div w:id="1765572273">
      <w:bodyDiv w:val="1"/>
      <w:marLeft w:val="0"/>
      <w:marRight w:val="0"/>
      <w:marTop w:val="0"/>
      <w:marBottom w:val="0"/>
      <w:divBdr>
        <w:top w:val="none" w:sz="0" w:space="0" w:color="auto"/>
        <w:left w:val="none" w:sz="0" w:space="0" w:color="auto"/>
        <w:bottom w:val="none" w:sz="0" w:space="0" w:color="auto"/>
        <w:right w:val="none" w:sz="0" w:space="0" w:color="auto"/>
      </w:divBdr>
    </w:div>
    <w:div w:id="1768501641">
      <w:bodyDiv w:val="1"/>
      <w:marLeft w:val="0"/>
      <w:marRight w:val="0"/>
      <w:marTop w:val="0"/>
      <w:marBottom w:val="0"/>
      <w:divBdr>
        <w:top w:val="none" w:sz="0" w:space="0" w:color="auto"/>
        <w:left w:val="none" w:sz="0" w:space="0" w:color="auto"/>
        <w:bottom w:val="none" w:sz="0" w:space="0" w:color="auto"/>
        <w:right w:val="none" w:sz="0" w:space="0" w:color="auto"/>
      </w:divBdr>
    </w:div>
    <w:div w:id="1790321140">
      <w:bodyDiv w:val="1"/>
      <w:marLeft w:val="0"/>
      <w:marRight w:val="0"/>
      <w:marTop w:val="0"/>
      <w:marBottom w:val="0"/>
      <w:divBdr>
        <w:top w:val="none" w:sz="0" w:space="0" w:color="auto"/>
        <w:left w:val="none" w:sz="0" w:space="0" w:color="auto"/>
        <w:bottom w:val="none" w:sz="0" w:space="0" w:color="auto"/>
        <w:right w:val="none" w:sz="0" w:space="0" w:color="auto"/>
      </w:divBdr>
    </w:div>
    <w:div w:id="1792433704">
      <w:bodyDiv w:val="1"/>
      <w:marLeft w:val="0"/>
      <w:marRight w:val="0"/>
      <w:marTop w:val="0"/>
      <w:marBottom w:val="0"/>
      <w:divBdr>
        <w:top w:val="none" w:sz="0" w:space="0" w:color="auto"/>
        <w:left w:val="none" w:sz="0" w:space="0" w:color="auto"/>
        <w:bottom w:val="none" w:sz="0" w:space="0" w:color="auto"/>
        <w:right w:val="none" w:sz="0" w:space="0" w:color="auto"/>
      </w:divBdr>
    </w:div>
    <w:div w:id="1797136913">
      <w:bodyDiv w:val="1"/>
      <w:marLeft w:val="0"/>
      <w:marRight w:val="0"/>
      <w:marTop w:val="0"/>
      <w:marBottom w:val="0"/>
      <w:divBdr>
        <w:top w:val="none" w:sz="0" w:space="0" w:color="auto"/>
        <w:left w:val="none" w:sz="0" w:space="0" w:color="auto"/>
        <w:bottom w:val="none" w:sz="0" w:space="0" w:color="auto"/>
        <w:right w:val="none" w:sz="0" w:space="0" w:color="auto"/>
      </w:divBdr>
    </w:div>
    <w:div w:id="1810396109">
      <w:bodyDiv w:val="1"/>
      <w:marLeft w:val="0"/>
      <w:marRight w:val="0"/>
      <w:marTop w:val="0"/>
      <w:marBottom w:val="0"/>
      <w:divBdr>
        <w:top w:val="none" w:sz="0" w:space="0" w:color="auto"/>
        <w:left w:val="none" w:sz="0" w:space="0" w:color="auto"/>
        <w:bottom w:val="none" w:sz="0" w:space="0" w:color="auto"/>
        <w:right w:val="none" w:sz="0" w:space="0" w:color="auto"/>
      </w:divBdr>
    </w:div>
    <w:div w:id="1822884081">
      <w:bodyDiv w:val="1"/>
      <w:marLeft w:val="0"/>
      <w:marRight w:val="0"/>
      <w:marTop w:val="0"/>
      <w:marBottom w:val="0"/>
      <w:divBdr>
        <w:top w:val="none" w:sz="0" w:space="0" w:color="auto"/>
        <w:left w:val="none" w:sz="0" w:space="0" w:color="auto"/>
        <w:bottom w:val="none" w:sz="0" w:space="0" w:color="auto"/>
        <w:right w:val="none" w:sz="0" w:space="0" w:color="auto"/>
      </w:divBdr>
    </w:div>
    <w:div w:id="1823768076">
      <w:bodyDiv w:val="1"/>
      <w:marLeft w:val="0"/>
      <w:marRight w:val="0"/>
      <w:marTop w:val="0"/>
      <w:marBottom w:val="0"/>
      <w:divBdr>
        <w:top w:val="none" w:sz="0" w:space="0" w:color="auto"/>
        <w:left w:val="none" w:sz="0" w:space="0" w:color="auto"/>
        <w:bottom w:val="none" w:sz="0" w:space="0" w:color="auto"/>
        <w:right w:val="none" w:sz="0" w:space="0" w:color="auto"/>
      </w:divBdr>
    </w:div>
    <w:div w:id="1881629256">
      <w:bodyDiv w:val="1"/>
      <w:marLeft w:val="0"/>
      <w:marRight w:val="0"/>
      <w:marTop w:val="0"/>
      <w:marBottom w:val="0"/>
      <w:divBdr>
        <w:top w:val="none" w:sz="0" w:space="0" w:color="auto"/>
        <w:left w:val="none" w:sz="0" w:space="0" w:color="auto"/>
        <w:bottom w:val="none" w:sz="0" w:space="0" w:color="auto"/>
        <w:right w:val="none" w:sz="0" w:space="0" w:color="auto"/>
      </w:divBdr>
    </w:div>
    <w:div w:id="1935162119">
      <w:bodyDiv w:val="1"/>
      <w:marLeft w:val="0"/>
      <w:marRight w:val="0"/>
      <w:marTop w:val="0"/>
      <w:marBottom w:val="0"/>
      <w:divBdr>
        <w:top w:val="none" w:sz="0" w:space="0" w:color="auto"/>
        <w:left w:val="none" w:sz="0" w:space="0" w:color="auto"/>
        <w:bottom w:val="none" w:sz="0" w:space="0" w:color="auto"/>
        <w:right w:val="none" w:sz="0" w:space="0" w:color="auto"/>
      </w:divBdr>
    </w:div>
    <w:div w:id="1944217082">
      <w:bodyDiv w:val="1"/>
      <w:marLeft w:val="0"/>
      <w:marRight w:val="0"/>
      <w:marTop w:val="0"/>
      <w:marBottom w:val="0"/>
      <w:divBdr>
        <w:top w:val="none" w:sz="0" w:space="0" w:color="auto"/>
        <w:left w:val="none" w:sz="0" w:space="0" w:color="auto"/>
        <w:bottom w:val="none" w:sz="0" w:space="0" w:color="auto"/>
        <w:right w:val="none" w:sz="0" w:space="0" w:color="auto"/>
      </w:divBdr>
    </w:div>
    <w:div w:id="1993636233">
      <w:bodyDiv w:val="1"/>
      <w:marLeft w:val="0"/>
      <w:marRight w:val="0"/>
      <w:marTop w:val="0"/>
      <w:marBottom w:val="0"/>
      <w:divBdr>
        <w:top w:val="none" w:sz="0" w:space="0" w:color="auto"/>
        <w:left w:val="none" w:sz="0" w:space="0" w:color="auto"/>
        <w:bottom w:val="none" w:sz="0" w:space="0" w:color="auto"/>
        <w:right w:val="none" w:sz="0" w:space="0" w:color="auto"/>
      </w:divBdr>
    </w:div>
    <w:div w:id="2096634886">
      <w:bodyDiv w:val="1"/>
      <w:marLeft w:val="0"/>
      <w:marRight w:val="0"/>
      <w:marTop w:val="0"/>
      <w:marBottom w:val="0"/>
      <w:divBdr>
        <w:top w:val="none" w:sz="0" w:space="0" w:color="auto"/>
        <w:left w:val="none" w:sz="0" w:space="0" w:color="auto"/>
        <w:bottom w:val="none" w:sz="0" w:space="0" w:color="auto"/>
        <w:right w:val="none" w:sz="0" w:space="0" w:color="auto"/>
      </w:divBdr>
    </w:div>
    <w:div w:id="21276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B9D0-F403-4C67-9174-34EE03BE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2044</Characters>
  <Application>Microsoft Office Word</Application>
  <DocSecurity>0</DocSecurity>
  <Lines>17</Lines>
  <Paragraphs>4</Paragraphs>
  <ScaleCrop>false</ScaleCrop>
  <Company>RDEC</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行政院所屬各機關八十八年度施政計畫編審作業注意事項</dc:title>
  <dc:creator>RDEC</dc:creator>
  <cp:lastModifiedBy>黃耀瑩</cp:lastModifiedBy>
  <cp:revision>2</cp:revision>
  <cp:lastPrinted>2022-10-06T11:14:00Z</cp:lastPrinted>
  <dcterms:created xsi:type="dcterms:W3CDTF">2022-10-12T06:34:00Z</dcterms:created>
  <dcterms:modified xsi:type="dcterms:W3CDTF">2022-10-12T06:34:00Z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DocCode">
    <vt:lpwstr/>
  </property>
  <property fmtid="{D5CDD505-2E9C-101B-9397-08002B2CF9AE}" pid="4" name="DocDate">
    <vt:lpwstr/>
  </property>
  <property fmtid="{D5CDD505-2E9C-101B-9397-08002B2CF9AE}" pid="5" name="YourName">
    <vt:lpwstr>paper732</vt:lpwstr>
  </property>
</Properties>
</file>