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AA7" w:rsidRDefault="00902EF1">
      <w:pPr>
        <w:pStyle w:val="Standard"/>
        <w:spacing w:line="500" w:lineRule="exact"/>
        <w:jc w:val="center"/>
        <w:rPr>
          <w:rFonts w:ascii="Times New Roman" w:eastAsia="標楷體" w:hAnsi="Times New Roman" w:hint="eastAsia"/>
          <w:b/>
          <w:sz w:val="36"/>
          <w:szCs w:val="32"/>
        </w:rPr>
      </w:pPr>
      <w:r>
        <w:rPr>
          <w:rFonts w:ascii="Times New Roman" w:eastAsia="標楷體" w:hAnsi="Times New Roman"/>
          <w:b/>
          <w:sz w:val="36"/>
          <w:szCs w:val="32"/>
        </w:rPr>
        <w:t>再生能源推動政策</w:t>
      </w:r>
    </w:p>
    <w:p w:rsidR="007712FD" w:rsidRDefault="007712FD">
      <w:pPr>
        <w:pStyle w:val="Standard"/>
        <w:spacing w:line="500" w:lineRule="exact"/>
        <w:jc w:val="center"/>
        <w:rPr>
          <w:rFonts w:ascii="Times New Roman" w:eastAsia="標楷體" w:hAnsi="Times New Roman"/>
          <w:b/>
          <w:sz w:val="36"/>
          <w:szCs w:val="32"/>
        </w:rPr>
      </w:pPr>
    </w:p>
    <w:p w:rsidR="00250384" w:rsidRDefault="00250384" w:rsidP="00250384">
      <w:pPr>
        <w:pStyle w:val="a6"/>
        <w:numPr>
          <w:ilvl w:val="0"/>
          <w:numId w:val="7"/>
        </w:numPr>
        <w:spacing w:line="500" w:lineRule="exact"/>
        <w:ind w:left="0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/>
          <w:b/>
          <w:sz w:val="32"/>
          <w:szCs w:val="32"/>
        </w:rPr>
        <w:t>再生能源發展條例</w:t>
      </w:r>
    </w:p>
    <w:p w:rsidR="00250384" w:rsidRDefault="00250384" w:rsidP="00250384">
      <w:pPr>
        <w:pStyle w:val="Standard"/>
        <w:spacing w:line="500" w:lineRule="exact"/>
        <w:ind w:left="993"/>
        <w:jc w:val="both"/>
      </w:pPr>
      <w:r>
        <w:rPr>
          <w:rFonts w:ascii="Times New Roman" w:eastAsia="Times New Roman" w:hAnsi="Times New Roman"/>
          <w:sz w:val="32"/>
          <w:szCs w:val="32"/>
        </w:rPr>
        <w:t xml:space="preserve">    </w:t>
      </w:r>
      <w:r>
        <w:rPr>
          <w:rFonts w:ascii="Times New Roman" w:eastAsia="新細明體" w:hAnsi="Times New Roman"/>
          <w:sz w:val="32"/>
          <w:szCs w:val="32"/>
        </w:rPr>
        <w:t xml:space="preserve">    </w:t>
      </w:r>
      <w:r>
        <w:rPr>
          <w:rFonts w:ascii="Times New Roman" w:eastAsia="標楷體" w:hAnsi="Times New Roman"/>
          <w:sz w:val="32"/>
          <w:szCs w:val="32"/>
        </w:rPr>
        <w:t>本條例立法之目的係</w:t>
      </w:r>
      <w:r w:rsidRPr="00946260">
        <w:rPr>
          <w:rFonts w:ascii="Times New Roman" w:eastAsia="標楷體" w:hAnsi="Times New Roman" w:hint="eastAsia"/>
          <w:sz w:val="32"/>
          <w:szCs w:val="32"/>
        </w:rPr>
        <w:t>推廣再生能源利用，增進能源多元化，改善能源結構，降低溫室氣體排放，改善環境品質，帶動相關產業及增進國家永續發展</w:t>
      </w:r>
      <w:r>
        <w:rPr>
          <w:rFonts w:ascii="Times New Roman" w:eastAsia="標楷體" w:hAnsi="Times New Roman"/>
          <w:sz w:val="32"/>
          <w:szCs w:val="32"/>
        </w:rPr>
        <w:t>。</w:t>
      </w:r>
    </w:p>
    <w:p w:rsidR="00250384" w:rsidRDefault="00250384" w:rsidP="00250384">
      <w:pPr>
        <w:pStyle w:val="Standard"/>
        <w:jc w:val="center"/>
      </w:pPr>
      <w:r w:rsidRPr="00A556B1">
        <w:rPr>
          <w:noProof/>
        </w:rPr>
        <w:drawing>
          <wp:inline distT="0" distB="0" distL="0" distR="0" wp14:anchorId="663129C7" wp14:editId="071C9F72">
            <wp:extent cx="3929145" cy="2896322"/>
            <wp:effectExtent l="0" t="0" r="0" b="0"/>
            <wp:docPr id="12" name="圖片 1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5B1577A-661B-4140-97D4-B9E4B5E7FAB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圖片 1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5B1577A-661B-4140-97D4-B9E4B5E7FAB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9145" cy="2896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0384" w:rsidRDefault="00250384" w:rsidP="00250384">
      <w:pPr>
        <w:pStyle w:val="Standard"/>
        <w:jc w:val="center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/>
          <w:noProof/>
          <w:sz w:val="32"/>
          <w:szCs w:val="32"/>
        </w:rPr>
        <w:drawing>
          <wp:inline distT="0" distB="0" distL="0" distR="0" wp14:anchorId="701D9E52" wp14:editId="3B4F9BB0">
            <wp:extent cx="5339818" cy="3848100"/>
            <wp:effectExtent l="0" t="0" r="0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5055" cy="38518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1AA7" w:rsidRPr="00A92257" w:rsidRDefault="00902EF1">
      <w:pPr>
        <w:pStyle w:val="a6"/>
        <w:numPr>
          <w:ilvl w:val="0"/>
          <w:numId w:val="7"/>
        </w:numPr>
        <w:spacing w:line="500" w:lineRule="exact"/>
        <w:ind w:left="0"/>
        <w:rPr>
          <w:rFonts w:ascii="Times New Roman" w:eastAsia="標楷體" w:hAnsi="Times New Roman"/>
          <w:b/>
          <w:color w:val="000000" w:themeColor="text1"/>
          <w:sz w:val="32"/>
          <w:szCs w:val="32"/>
        </w:rPr>
      </w:pPr>
      <w:r w:rsidRPr="00A92257">
        <w:rPr>
          <w:rFonts w:ascii="Times New Roman" w:eastAsia="標楷體" w:hAnsi="Times New Roman"/>
          <w:b/>
          <w:color w:val="000000" w:themeColor="text1"/>
          <w:sz w:val="32"/>
          <w:szCs w:val="32"/>
        </w:rPr>
        <w:lastRenderedPageBreak/>
        <w:t>再生能源發展政策</w:t>
      </w:r>
    </w:p>
    <w:p w:rsidR="00DF1AA7" w:rsidRPr="00A92257" w:rsidRDefault="00A41096">
      <w:pPr>
        <w:pStyle w:val="a6"/>
        <w:numPr>
          <w:ilvl w:val="0"/>
          <w:numId w:val="15"/>
        </w:numPr>
        <w:spacing w:line="500" w:lineRule="exact"/>
        <w:ind w:left="709" w:hanging="567"/>
        <w:rPr>
          <w:rFonts w:ascii="Times New Roman" w:eastAsia="標楷體" w:hAnsi="Times New Roman"/>
          <w:color w:val="000000" w:themeColor="text1"/>
          <w:sz w:val="32"/>
          <w:szCs w:val="32"/>
        </w:rPr>
      </w:pPr>
      <w:r w:rsidRPr="00A92257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本</w:t>
      </w:r>
      <w:r w:rsidRPr="00A92257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(</w:t>
      </w:r>
      <w:r w:rsidRPr="00A92257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經濟</w:t>
      </w:r>
      <w:r w:rsidRPr="00A92257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)</w:t>
      </w:r>
      <w:proofErr w:type="gramStart"/>
      <w:r w:rsidRPr="00A92257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部已</w:t>
      </w:r>
      <w:r w:rsidR="00902EF1" w:rsidRPr="00A92257">
        <w:rPr>
          <w:rFonts w:ascii="Times New Roman" w:eastAsia="標楷體" w:hAnsi="Times New Roman"/>
          <w:color w:val="000000" w:themeColor="text1"/>
          <w:sz w:val="32"/>
          <w:szCs w:val="32"/>
        </w:rPr>
        <w:t>規劃</w:t>
      </w:r>
      <w:proofErr w:type="gramEnd"/>
      <w:r w:rsidR="00902EF1" w:rsidRPr="00A92257">
        <w:rPr>
          <w:rFonts w:ascii="Times New Roman" w:eastAsia="標楷體" w:hAnsi="Times New Roman"/>
          <w:color w:val="000000" w:themeColor="text1"/>
          <w:sz w:val="32"/>
          <w:szCs w:val="32"/>
        </w:rPr>
        <w:t>至</w:t>
      </w:r>
      <w:r w:rsidR="00902EF1" w:rsidRPr="00A92257">
        <w:rPr>
          <w:rFonts w:ascii="Times New Roman" w:eastAsia="標楷體" w:hAnsi="Times New Roman"/>
          <w:color w:val="000000" w:themeColor="text1"/>
          <w:sz w:val="32"/>
          <w:szCs w:val="32"/>
        </w:rPr>
        <w:t>114</w:t>
      </w:r>
      <w:r w:rsidR="00902EF1" w:rsidRPr="00A92257">
        <w:rPr>
          <w:rFonts w:ascii="Times New Roman" w:eastAsia="標楷體" w:hAnsi="Times New Roman"/>
          <w:color w:val="000000" w:themeColor="text1"/>
          <w:sz w:val="32"/>
          <w:szCs w:val="32"/>
        </w:rPr>
        <w:t>年再生能源</w:t>
      </w:r>
      <w:r w:rsidR="00D378CA" w:rsidRPr="00A92257">
        <w:rPr>
          <w:rFonts w:ascii="Times New Roman" w:eastAsia="標楷體" w:hAnsi="Times New Roman"/>
          <w:color w:val="000000" w:themeColor="text1"/>
          <w:sz w:val="32"/>
          <w:szCs w:val="32"/>
        </w:rPr>
        <w:t>裝置容量</w:t>
      </w:r>
      <w:r w:rsidR="00D378CA" w:rsidRPr="00A92257">
        <w:rPr>
          <w:rFonts w:ascii="Times New Roman" w:eastAsia="標楷體" w:hAnsi="Times New Roman"/>
          <w:bCs/>
          <w:color w:val="000000" w:themeColor="text1"/>
          <w:sz w:val="32"/>
          <w:szCs w:val="32"/>
        </w:rPr>
        <w:t>29 GW</w:t>
      </w:r>
      <w:r w:rsidR="00902EF1" w:rsidRPr="00A92257">
        <w:rPr>
          <w:rFonts w:ascii="Times New Roman" w:eastAsia="標楷體" w:hAnsi="Times New Roman"/>
          <w:color w:val="000000" w:themeColor="text1"/>
          <w:sz w:val="32"/>
          <w:szCs w:val="32"/>
        </w:rPr>
        <w:t>之政策目標，展現政府積極推動再生能源之決心與努力。</w:t>
      </w:r>
    </w:p>
    <w:p w:rsidR="00DF1AA7" w:rsidRPr="00A92257" w:rsidRDefault="00902EF1" w:rsidP="00FF61B1">
      <w:pPr>
        <w:pStyle w:val="a6"/>
        <w:numPr>
          <w:ilvl w:val="0"/>
          <w:numId w:val="15"/>
        </w:numPr>
        <w:spacing w:line="500" w:lineRule="exact"/>
        <w:ind w:left="709" w:hanging="567"/>
        <w:rPr>
          <w:rFonts w:ascii="Times New Roman" w:eastAsia="標楷體" w:hAnsi="Times New Roman"/>
          <w:color w:val="000000" w:themeColor="text1"/>
          <w:sz w:val="32"/>
          <w:szCs w:val="32"/>
        </w:rPr>
      </w:pPr>
      <w:r w:rsidRPr="00A92257">
        <w:rPr>
          <w:rFonts w:ascii="Times New Roman" w:eastAsia="標楷體" w:hAnsi="Times New Roman"/>
          <w:color w:val="000000" w:themeColor="text1"/>
          <w:sz w:val="32"/>
          <w:szCs w:val="32"/>
        </w:rPr>
        <w:t>我國推動再生能源，係以技術成熟可行、成本效益導向、分期均衡發展、帶動產業發展及電價影響可接受為規劃原則。並以太陽光電及離</w:t>
      </w:r>
      <w:proofErr w:type="gramStart"/>
      <w:r w:rsidRPr="00A92257">
        <w:rPr>
          <w:rFonts w:ascii="Times New Roman" w:eastAsia="標楷體" w:hAnsi="Times New Roman"/>
          <w:color w:val="000000" w:themeColor="text1"/>
          <w:sz w:val="32"/>
          <w:szCs w:val="32"/>
        </w:rPr>
        <w:t>岸風電作為</w:t>
      </w:r>
      <w:proofErr w:type="gramEnd"/>
      <w:r w:rsidRPr="00A92257">
        <w:rPr>
          <w:rFonts w:ascii="Times New Roman" w:eastAsia="標楷體" w:hAnsi="Times New Roman"/>
          <w:color w:val="000000" w:themeColor="text1"/>
          <w:sz w:val="32"/>
          <w:szCs w:val="32"/>
        </w:rPr>
        <w:t>主要發展項目，分別推動</w:t>
      </w:r>
      <w:r w:rsidR="00392571" w:rsidRPr="00A92257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短中長期</w:t>
      </w:r>
      <w:r w:rsidRPr="00A92257">
        <w:rPr>
          <w:rFonts w:ascii="Times New Roman" w:eastAsia="標楷體" w:hAnsi="Times New Roman"/>
          <w:color w:val="000000" w:themeColor="text1"/>
          <w:sz w:val="32"/>
          <w:szCs w:val="32"/>
        </w:rPr>
        <w:t>太陽光電計畫及風力發電</w:t>
      </w:r>
      <w:r w:rsidRPr="00A92257">
        <w:rPr>
          <w:rFonts w:ascii="Times New Roman" w:eastAsia="標楷體" w:hAnsi="Times New Roman"/>
          <w:color w:val="000000" w:themeColor="text1"/>
          <w:sz w:val="32"/>
          <w:szCs w:val="32"/>
        </w:rPr>
        <w:t>4</w:t>
      </w:r>
      <w:r w:rsidRPr="00A92257">
        <w:rPr>
          <w:rFonts w:ascii="Times New Roman" w:eastAsia="標楷體" w:hAnsi="Times New Roman"/>
          <w:color w:val="000000" w:themeColor="text1"/>
          <w:sz w:val="32"/>
          <w:szCs w:val="32"/>
        </w:rPr>
        <w:t>年推動計畫；另</w:t>
      </w:r>
      <w:r w:rsidR="00F24003" w:rsidRPr="00A92257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包含地熱、水力、生質能</w:t>
      </w:r>
      <w:r w:rsidR="00701D22" w:rsidRPr="00A92257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、燃料電池</w:t>
      </w:r>
      <w:r w:rsidR="00F24003" w:rsidRPr="00A92257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等</w:t>
      </w:r>
      <w:r w:rsidRPr="00A92257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再生能源</w:t>
      </w:r>
      <w:proofErr w:type="gramStart"/>
      <w:r w:rsidRPr="00A92257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發展</w:t>
      </w:r>
      <w:r w:rsidR="00F24003" w:rsidRPr="00A92257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均</w:t>
      </w:r>
      <w:r w:rsidR="00DA5643" w:rsidRPr="00A92257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有完整</w:t>
      </w:r>
      <w:proofErr w:type="gramEnd"/>
      <w:r w:rsidR="00DA5643" w:rsidRPr="00A92257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規劃</w:t>
      </w:r>
      <w:r w:rsidR="00491960" w:rsidRPr="00A92257">
        <w:rPr>
          <w:rFonts w:ascii="Times New Roman" w:eastAsia="標楷體" w:hAnsi="Times New Roman"/>
          <w:color w:val="000000" w:themeColor="text1"/>
          <w:sz w:val="32"/>
          <w:szCs w:val="32"/>
        </w:rPr>
        <w:t>，將如期如質達成</w:t>
      </w:r>
      <w:r w:rsidR="009F1A77" w:rsidRPr="00A92257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政策規劃</w:t>
      </w:r>
      <w:r w:rsidR="00491960" w:rsidRPr="00A92257">
        <w:rPr>
          <w:rFonts w:ascii="Times New Roman" w:eastAsia="標楷體" w:hAnsi="Times New Roman"/>
          <w:color w:val="000000" w:themeColor="text1"/>
          <w:sz w:val="32"/>
          <w:szCs w:val="32"/>
        </w:rPr>
        <w:t>目標</w:t>
      </w:r>
      <w:r w:rsidRPr="00A92257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。</w:t>
      </w:r>
    </w:p>
    <w:p w:rsidR="00DF1AA7" w:rsidRPr="00A92257" w:rsidRDefault="00902EF1">
      <w:pPr>
        <w:pStyle w:val="a6"/>
        <w:numPr>
          <w:ilvl w:val="0"/>
          <w:numId w:val="4"/>
        </w:numPr>
        <w:spacing w:line="500" w:lineRule="exact"/>
        <w:ind w:left="709" w:hanging="567"/>
        <w:rPr>
          <w:rFonts w:ascii="Times New Roman" w:eastAsia="標楷體" w:hAnsi="Times New Roman"/>
          <w:color w:val="000000" w:themeColor="text1"/>
          <w:sz w:val="32"/>
          <w:szCs w:val="32"/>
        </w:rPr>
      </w:pPr>
      <w:r w:rsidRPr="00A92257">
        <w:rPr>
          <w:rFonts w:ascii="Times New Roman" w:eastAsia="標楷體" w:hAnsi="Times New Roman"/>
          <w:color w:val="000000" w:themeColor="text1"/>
          <w:sz w:val="32"/>
          <w:szCs w:val="32"/>
        </w:rPr>
        <w:t>各項再生能源推動策略：</w:t>
      </w:r>
    </w:p>
    <w:p w:rsidR="00DF1AA7" w:rsidRPr="00A92257" w:rsidRDefault="00902EF1" w:rsidP="00BE7401">
      <w:pPr>
        <w:pStyle w:val="a6"/>
        <w:widowControl/>
        <w:numPr>
          <w:ilvl w:val="0"/>
          <w:numId w:val="16"/>
        </w:numPr>
        <w:suppressAutoHyphens w:val="0"/>
        <w:autoSpaceDE w:val="0"/>
        <w:snapToGrid w:val="0"/>
        <w:spacing w:line="500" w:lineRule="exact"/>
        <w:jc w:val="both"/>
        <w:textAlignment w:val="auto"/>
        <w:rPr>
          <w:color w:val="000000" w:themeColor="text1"/>
        </w:rPr>
      </w:pPr>
      <w:r w:rsidRPr="00A92257">
        <w:rPr>
          <w:rFonts w:ascii="Times New Roman" w:eastAsia="標楷體" w:hAnsi="Times New Roman"/>
          <w:color w:val="000000" w:themeColor="text1"/>
          <w:sz w:val="32"/>
          <w:szCs w:val="32"/>
        </w:rPr>
        <w:t>風力發電：短中期推動「風力發電</w:t>
      </w:r>
      <w:r w:rsidRPr="00A92257">
        <w:rPr>
          <w:rFonts w:ascii="Times New Roman" w:eastAsia="標楷體" w:hAnsi="Times New Roman"/>
          <w:color w:val="000000" w:themeColor="text1"/>
          <w:sz w:val="32"/>
          <w:szCs w:val="32"/>
        </w:rPr>
        <w:t>4</w:t>
      </w:r>
      <w:r w:rsidRPr="00A92257">
        <w:rPr>
          <w:rFonts w:ascii="Times New Roman" w:eastAsia="標楷體" w:hAnsi="Times New Roman"/>
          <w:color w:val="000000" w:themeColor="text1"/>
          <w:sz w:val="32"/>
          <w:szCs w:val="32"/>
        </w:rPr>
        <w:t>年推動計畫」，</w:t>
      </w:r>
      <w:r w:rsidR="009F1A77" w:rsidRPr="00A92257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離岸</w:t>
      </w:r>
      <w:proofErr w:type="gramStart"/>
      <w:r w:rsidR="009F1A77" w:rsidRPr="00A92257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風</w:t>
      </w:r>
      <w:r w:rsidR="00EA1F6D" w:rsidRPr="00A92257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電部分採</w:t>
      </w:r>
      <w:proofErr w:type="gramEnd"/>
      <w:r w:rsidR="00EA1F6D" w:rsidRPr="00A92257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「先示範、次潛力、</w:t>
      </w:r>
      <w:proofErr w:type="gramStart"/>
      <w:r w:rsidR="00EA1F6D" w:rsidRPr="00A92257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後區塊</w:t>
      </w:r>
      <w:proofErr w:type="gramEnd"/>
      <w:r w:rsidR="00EA1F6D" w:rsidRPr="00A92257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」</w:t>
      </w:r>
      <w:r w:rsidR="00EA1F6D" w:rsidRPr="00A92257">
        <w:rPr>
          <w:rFonts w:ascii="Times New Roman" w:eastAsia="標楷體" w:hAnsi="Times New Roman"/>
          <w:color w:val="000000" w:themeColor="text1"/>
          <w:sz w:val="32"/>
          <w:szCs w:val="32"/>
        </w:rPr>
        <w:t>3</w:t>
      </w:r>
      <w:r w:rsidR="00EA1F6D" w:rsidRPr="00A92257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階段之推動策略，</w:t>
      </w:r>
      <w:r w:rsidR="009F1A77" w:rsidRPr="00A92257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預計</w:t>
      </w:r>
      <w:r w:rsidR="00BE7401" w:rsidRPr="00A92257">
        <w:rPr>
          <w:rFonts w:ascii="Times New Roman" w:eastAsia="標楷體" w:hAnsi="Times New Roman"/>
          <w:color w:val="000000" w:themeColor="text1"/>
          <w:sz w:val="32"/>
          <w:szCs w:val="32"/>
        </w:rPr>
        <w:t>114</w:t>
      </w:r>
      <w:r w:rsidR="00BE7401" w:rsidRPr="00A92257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年裝置容量</w:t>
      </w:r>
      <w:r w:rsidR="009F1A77" w:rsidRPr="00A92257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目標</w:t>
      </w:r>
      <w:r w:rsidR="00BE7401" w:rsidRPr="00A92257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達</w:t>
      </w:r>
      <w:r w:rsidR="00BE7401" w:rsidRPr="00A92257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 xml:space="preserve"> 5.6 GW</w:t>
      </w:r>
      <w:r w:rsidR="00EA1F6D" w:rsidRPr="00A92257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；另</w:t>
      </w:r>
      <w:r w:rsidRPr="00A92257">
        <w:rPr>
          <w:rFonts w:ascii="Times New Roman" w:eastAsia="標楷體" w:hAnsi="Times New Roman"/>
          <w:color w:val="000000" w:themeColor="text1"/>
          <w:sz w:val="32"/>
          <w:szCs w:val="32"/>
        </w:rPr>
        <w:t>陸</w:t>
      </w:r>
      <w:proofErr w:type="gramStart"/>
      <w:r w:rsidRPr="00A92257">
        <w:rPr>
          <w:rFonts w:ascii="Times New Roman" w:eastAsia="標楷體" w:hAnsi="Times New Roman"/>
          <w:color w:val="000000" w:themeColor="text1"/>
          <w:sz w:val="32"/>
          <w:szCs w:val="32"/>
        </w:rPr>
        <w:t>域</w:t>
      </w:r>
      <w:r w:rsidR="006476CC" w:rsidRPr="00A92257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風電</w:t>
      </w:r>
      <w:proofErr w:type="gramEnd"/>
      <w:r w:rsidRPr="00A92257">
        <w:rPr>
          <w:rFonts w:ascii="Times New Roman" w:eastAsia="標楷體" w:hAnsi="Times New Roman"/>
          <w:color w:val="000000" w:themeColor="text1"/>
          <w:sz w:val="32"/>
          <w:szCs w:val="32"/>
        </w:rPr>
        <w:t>部分</w:t>
      </w:r>
      <w:r w:rsidR="00EA1F6D" w:rsidRPr="00A92257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則</w:t>
      </w:r>
      <w:r w:rsidR="00A34AEA" w:rsidRPr="00A92257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針對無環境影響疑慮及地方態度支持之案場優先輔導、穩健推動</w:t>
      </w:r>
      <w:r w:rsidRPr="00A92257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。</w:t>
      </w:r>
      <w:r w:rsidR="006476CC" w:rsidRPr="00A92257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有關離岸</w:t>
      </w:r>
      <w:proofErr w:type="gramStart"/>
      <w:r w:rsidR="006476CC" w:rsidRPr="00A92257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風電各</w:t>
      </w:r>
      <w:proofErr w:type="gramEnd"/>
      <w:r w:rsidR="006476CC" w:rsidRPr="00A92257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階段發展如下：</w:t>
      </w:r>
    </w:p>
    <w:p w:rsidR="0098295F" w:rsidRPr="00A92257" w:rsidRDefault="0098295F" w:rsidP="0098295F">
      <w:pPr>
        <w:widowControl/>
        <w:numPr>
          <w:ilvl w:val="0"/>
          <w:numId w:val="17"/>
        </w:numPr>
        <w:suppressAutoHyphens w:val="0"/>
        <w:snapToGrid w:val="0"/>
        <w:spacing w:line="500" w:lineRule="exact"/>
        <w:jc w:val="both"/>
        <w:textAlignment w:val="auto"/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  <w:lang w:bidi="ar-SA"/>
        </w:rPr>
      </w:pPr>
      <w:r w:rsidRPr="00A92257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2"/>
          <w:lang w:bidi="ar-SA"/>
        </w:rPr>
        <w:t>第</w:t>
      </w:r>
      <w:r w:rsidRPr="00A92257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2"/>
          <w:lang w:bidi="ar-SA"/>
        </w:rPr>
        <w:t>1</w:t>
      </w:r>
      <w:r w:rsidRPr="00A92257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2"/>
          <w:lang w:bidi="ar-SA"/>
        </w:rPr>
        <w:t>階段示範獎勵：確認我國離</w:t>
      </w:r>
      <w:proofErr w:type="gramStart"/>
      <w:r w:rsidRPr="00A92257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2"/>
          <w:lang w:bidi="ar-SA"/>
        </w:rPr>
        <w:t>岸風電在</w:t>
      </w:r>
      <w:proofErr w:type="gramEnd"/>
      <w:r w:rsidRPr="00A92257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2"/>
          <w:lang w:bidi="ar-SA"/>
        </w:rPr>
        <w:t>行政、技術及財務之可行性</w:t>
      </w:r>
      <w:r w:rsidR="00DA5643" w:rsidRPr="00A92257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2"/>
          <w:lang w:bidi="ar-SA"/>
        </w:rPr>
        <w:t>，</w:t>
      </w:r>
      <w:r w:rsidR="006476CC" w:rsidRPr="00A92257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2"/>
          <w:lang w:bidi="ar-SA"/>
        </w:rPr>
        <w:t>於</w:t>
      </w:r>
      <w:r w:rsidR="00DA5643" w:rsidRPr="00A92257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2"/>
          <w:lang w:bidi="ar-SA"/>
        </w:rPr>
        <w:t>110</w:t>
      </w:r>
      <w:r w:rsidR="00DA5643" w:rsidRPr="00A92257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2"/>
          <w:lang w:bidi="ar-SA"/>
        </w:rPr>
        <w:t>年</w:t>
      </w:r>
      <w:r w:rsidR="006476CC" w:rsidRPr="00A92257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2"/>
          <w:lang w:bidi="ar-SA"/>
        </w:rPr>
        <w:t>底</w:t>
      </w:r>
      <w:r w:rsidR="00DA5643" w:rsidRPr="00A92257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2"/>
          <w:lang w:bidi="ar-SA"/>
        </w:rPr>
        <w:t>已完成本示範階段性任務，合計</w:t>
      </w:r>
      <w:r w:rsidR="00DA5643" w:rsidRPr="00A92257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2"/>
          <w:lang w:bidi="ar-SA"/>
        </w:rPr>
        <w:t>2</w:t>
      </w:r>
      <w:r w:rsidR="00DA5643" w:rsidRPr="00A92257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2"/>
          <w:lang w:bidi="ar-SA"/>
        </w:rPr>
        <w:t>座離</w:t>
      </w:r>
      <w:proofErr w:type="gramStart"/>
      <w:r w:rsidR="00DA5643" w:rsidRPr="00A92257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2"/>
          <w:lang w:bidi="ar-SA"/>
        </w:rPr>
        <w:t>岸風電示範</w:t>
      </w:r>
      <w:proofErr w:type="gramEnd"/>
      <w:r w:rsidR="00DA5643" w:rsidRPr="00A92257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2"/>
          <w:lang w:bidi="ar-SA"/>
        </w:rPr>
        <w:t>風場之裝置容量達</w:t>
      </w:r>
      <w:r w:rsidR="00DA5643" w:rsidRPr="00A92257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2"/>
          <w:lang w:bidi="ar-SA"/>
        </w:rPr>
        <w:t>237.2 MW</w:t>
      </w:r>
      <w:r w:rsidRPr="00A92257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2"/>
          <w:lang w:bidi="ar-SA"/>
        </w:rPr>
        <w:t>。</w:t>
      </w:r>
    </w:p>
    <w:p w:rsidR="0098295F" w:rsidRPr="00A92257" w:rsidRDefault="0098295F" w:rsidP="0098295F">
      <w:pPr>
        <w:widowControl/>
        <w:numPr>
          <w:ilvl w:val="0"/>
          <w:numId w:val="17"/>
        </w:numPr>
        <w:suppressAutoHyphens w:val="0"/>
        <w:snapToGrid w:val="0"/>
        <w:spacing w:line="500" w:lineRule="exact"/>
        <w:jc w:val="both"/>
        <w:textAlignment w:val="auto"/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  <w:lang w:bidi="ar-SA"/>
        </w:rPr>
      </w:pPr>
      <w:r w:rsidRPr="00A92257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2"/>
          <w:lang w:bidi="ar-SA"/>
        </w:rPr>
        <w:t>第</w:t>
      </w:r>
      <w:r w:rsidRPr="00A92257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2"/>
          <w:lang w:bidi="ar-SA"/>
        </w:rPr>
        <w:t>2</w:t>
      </w:r>
      <w:r w:rsidRPr="00A92257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2"/>
          <w:lang w:bidi="ar-SA"/>
        </w:rPr>
        <w:t>階段潛力場址：共計核配</w:t>
      </w:r>
      <w:r w:rsidRPr="00A92257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2"/>
          <w:lang w:bidi="ar-SA"/>
        </w:rPr>
        <w:t>5.5 GW</w:t>
      </w:r>
      <w:r w:rsidRPr="00A92257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2"/>
          <w:lang w:bidi="ar-SA"/>
        </w:rPr>
        <w:t>，將於</w:t>
      </w:r>
      <w:r w:rsidRPr="00A92257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2"/>
          <w:lang w:bidi="ar-SA"/>
        </w:rPr>
        <w:t>1</w:t>
      </w:r>
      <w:r w:rsidRPr="00A92257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  <w:lang w:bidi="ar-SA"/>
        </w:rPr>
        <w:t>14</w:t>
      </w:r>
      <w:r w:rsidRPr="00A92257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2"/>
          <w:lang w:bidi="ar-SA"/>
        </w:rPr>
        <w:t>年底前陸續完成設置</w:t>
      </w:r>
      <w:r w:rsidR="00DA5643" w:rsidRPr="00A92257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2"/>
          <w:lang w:bidi="ar-SA"/>
        </w:rPr>
        <w:t>，其中</w:t>
      </w:r>
      <w:r w:rsidR="00DA5643" w:rsidRPr="00A92257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2"/>
          <w:lang w:bidi="ar-SA"/>
        </w:rPr>
        <w:t>3 GW</w:t>
      </w:r>
      <w:r w:rsidR="00DA5643" w:rsidRPr="00A92257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2"/>
          <w:lang w:bidi="ar-SA"/>
        </w:rPr>
        <w:t>遴選業者負有國產化任務，帶動本土技術能量及在地供應鏈發展</w:t>
      </w:r>
      <w:r w:rsidRPr="00A92257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2"/>
          <w:lang w:bidi="ar-SA"/>
        </w:rPr>
        <w:t>。</w:t>
      </w:r>
    </w:p>
    <w:p w:rsidR="00DF1AA7" w:rsidRPr="00A92257" w:rsidRDefault="0098295F" w:rsidP="00FF61B1">
      <w:pPr>
        <w:widowControl/>
        <w:numPr>
          <w:ilvl w:val="0"/>
          <w:numId w:val="17"/>
        </w:numPr>
        <w:suppressAutoHyphens w:val="0"/>
        <w:snapToGrid w:val="0"/>
        <w:spacing w:line="500" w:lineRule="exact"/>
        <w:jc w:val="both"/>
        <w:textAlignment w:val="auto"/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  <w:lang w:bidi="ar-SA"/>
        </w:rPr>
      </w:pPr>
      <w:r w:rsidRPr="00A92257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2"/>
          <w:lang w:bidi="ar-SA"/>
        </w:rPr>
        <w:lastRenderedPageBreak/>
        <w:t>第</w:t>
      </w:r>
      <w:r w:rsidRPr="00A92257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2"/>
          <w:lang w:bidi="ar-SA"/>
        </w:rPr>
        <w:t>3</w:t>
      </w:r>
      <w:r w:rsidRPr="00A92257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2"/>
          <w:lang w:bidi="ar-SA"/>
        </w:rPr>
        <w:t>階段區塊開發：</w:t>
      </w:r>
      <w:r w:rsidR="00DA5643" w:rsidRPr="00A92257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2"/>
          <w:lang w:bidi="ar-SA"/>
        </w:rPr>
        <w:t>以規模經濟逐步建立本土離</w:t>
      </w:r>
      <w:proofErr w:type="gramStart"/>
      <w:r w:rsidR="00DA5643" w:rsidRPr="00A92257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2"/>
          <w:lang w:bidi="ar-SA"/>
        </w:rPr>
        <w:t>岸風電長期</w:t>
      </w:r>
      <w:proofErr w:type="gramEnd"/>
      <w:r w:rsidR="00DA5643" w:rsidRPr="00A92257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2"/>
          <w:lang w:bidi="ar-SA"/>
        </w:rPr>
        <w:t>穩定市場，</w:t>
      </w:r>
      <w:r w:rsidR="00DA5643" w:rsidRPr="00A92257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2"/>
          <w:lang w:bidi="ar-SA"/>
        </w:rPr>
        <w:t>2026</w:t>
      </w:r>
      <w:r w:rsidR="00DA5643" w:rsidRPr="00A92257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2"/>
          <w:lang w:bidi="ar-SA"/>
        </w:rPr>
        <w:t>年至</w:t>
      </w:r>
      <w:r w:rsidR="00DA5643" w:rsidRPr="00A92257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2"/>
          <w:lang w:bidi="ar-SA"/>
        </w:rPr>
        <w:t>2035</w:t>
      </w:r>
      <w:r w:rsidR="00DA5643" w:rsidRPr="00A92257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2"/>
          <w:lang w:bidi="ar-SA"/>
        </w:rPr>
        <w:t>年每年釋出</w:t>
      </w:r>
      <w:r w:rsidR="00DA5643" w:rsidRPr="00A92257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2"/>
          <w:lang w:bidi="ar-SA"/>
        </w:rPr>
        <w:t>1.5 GW</w:t>
      </w:r>
      <w:r w:rsidR="00DA5643" w:rsidRPr="00A92257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2"/>
          <w:lang w:bidi="ar-SA"/>
        </w:rPr>
        <w:t>，支持在地</w:t>
      </w:r>
      <w:proofErr w:type="gramStart"/>
      <w:r w:rsidR="00DA5643" w:rsidRPr="00A92257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2"/>
          <w:lang w:bidi="ar-SA"/>
        </w:rPr>
        <w:t>供應鏈永續</w:t>
      </w:r>
      <w:proofErr w:type="gramEnd"/>
      <w:r w:rsidR="00DA5643" w:rsidRPr="00A92257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2"/>
          <w:lang w:bidi="ar-SA"/>
        </w:rPr>
        <w:t>發展</w:t>
      </w:r>
      <w:r w:rsidRPr="00A92257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2"/>
          <w:lang w:bidi="ar-SA"/>
        </w:rPr>
        <w:t>。</w:t>
      </w:r>
    </w:p>
    <w:p w:rsidR="00DF1AA7" w:rsidRPr="00A92257" w:rsidRDefault="00902EF1">
      <w:pPr>
        <w:pStyle w:val="a6"/>
        <w:widowControl/>
        <w:numPr>
          <w:ilvl w:val="0"/>
          <w:numId w:val="16"/>
        </w:numPr>
        <w:suppressAutoHyphens w:val="0"/>
        <w:autoSpaceDE w:val="0"/>
        <w:snapToGrid w:val="0"/>
        <w:spacing w:line="500" w:lineRule="exact"/>
        <w:jc w:val="both"/>
        <w:textAlignment w:val="auto"/>
        <w:rPr>
          <w:rFonts w:ascii="Times New Roman" w:eastAsia="標楷體" w:hAnsi="Times New Roman"/>
          <w:color w:val="000000" w:themeColor="text1"/>
          <w:sz w:val="32"/>
          <w:szCs w:val="32"/>
        </w:rPr>
      </w:pPr>
      <w:r w:rsidRPr="00A92257">
        <w:rPr>
          <w:rFonts w:ascii="Times New Roman" w:eastAsia="標楷體" w:hAnsi="Times New Roman"/>
          <w:color w:val="000000" w:themeColor="text1"/>
          <w:sz w:val="32"/>
          <w:szCs w:val="32"/>
        </w:rPr>
        <w:t>太陽光電：</w:t>
      </w:r>
      <w:r w:rsidR="00C138F8" w:rsidRPr="00A92257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已明確推動路徑</w:t>
      </w:r>
      <w:r w:rsidR="00C138F8" w:rsidRPr="00A92257">
        <w:rPr>
          <w:rFonts w:ascii="Times New Roman" w:eastAsia="標楷體" w:hAnsi="Times New Roman"/>
          <w:color w:val="000000" w:themeColor="text1"/>
          <w:sz w:val="32"/>
          <w:szCs w:val="32"/>
        </w:rPr>
        <w:t>，規劃</w:t>
      </w:r>
      <w:r w:rsidR="00C138F8" w:rsidRPr="00A92257">
        <w:rPr>
          <w:rFonts w:ascii="Times New Roman" w:eastAsia="標楷體" w:hAnsi="Times New Roman"/>
          <w:color w:val="000000" w:themeColor="text1"/>
          <w:sz w:val="32"/>
          <w:szCs w:val="32"/>
        </w:rPr>
        <w:t>11</w:t>
      </w:r>
      <w:r w:rsidR="00C138F8" w:rsidRPr="00A92257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1</w:t>
      </w:r>
      <w:r w:rsidR="00C138F8" w:rsidRPr="00A92257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年達成</w:t>
      </w:r>
      <w:r w:rsidR="00C138F8" w:rsidRPr="00A92257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11.2</w:t>
      </w:r>
      <w:r w:rsidR="00C138F8" w:rsidRPr="00A92257">
        <w:rPr>
          <w:rFonts w:ascii="Times New Roman" w:eastAsia="標楷體" w:hAnsi="Times New Roman"/>
          <w:color w:val="000000" w:themeColor="text1"/>
          <w:sz w:val="32"/>
          <w:szCs w:val="32"/>
        </w:rPr>
        <w:t>5</w:t>
      </w:r>
      <w:r w:rsidR="00C138F8" w:rsidRPr="00A92257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 xml:space="preserve"> </w:t>
      </w:r>
      <w:r w:rsidR="00C138F8" w:rsidRPr="00A92257">
        <w:rPr>
          <w:rFonts w:ascii="Times New Roman" w:eastAsia="標楷體" w:hAnsi="Times New Roman"/>
          <w:color w:val="000000" w:themeColor="text1"/>
          <w:sz w:val="32"/>
          <w:szCs w:val="32"/>
        </w:rPr>
        <w:t>GW</w:t>
      </w:r>
      <w:r w:rsidR="00C138F8" w:rsidRPr="00A92257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，</w:t>
      </w:r>
      <w:r w:rsidR="00AA506E" w:rsidRPr="00A92257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並如期如質達成</w:t>
      </w:r>
      <w:r w:rsidR="00AA506E" w:rsidRPr="00A92257">
        <w:rPr>
          <w:rFonts w:ascii="Times New Roman" w:eastAsia="標楷體" w:hAnsi="Times New Roman"/>
          <w:color w:val="000000" w:themeColor="text1"/>
          <w:sz w:val="32"/>
          <w:szCs w:val="32"/>
        </w:rPr>
        <w:t>114</w:t>
      </w:r>
      <w:r w:rsidR="00AA506E" w:rsidRPr="00A92257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年</w:t>
      </w:r>
      <w:r w:rsidR="00AA506E" w:rsidRPr="00A92257">
        <w:rPr>
          <w:rFonts w:ascii="Times New Roman" w:eastAsia="標楷體" w:hAnsi="Times New Roman"/>
          <w:color w:val="000000" w:themeColor="text1"/>
          <w:sz w:val="32"/>
          <w:szCs w:val="32"/>
        </w:rPr>
        <w:t>20</w:t>
      </w:r>
      <w:r w:rsidR="00AA506E" w:rsidRPr="00A92257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 xml:space="preserve"> </w:t>
      </w:r>
      <w:r w:rsidR="00AA506E" w:rsidRPr="00A92257">
        <w:rPr>
          <w:rFonts w:ascii="Times New Roman" w:eastAsia="標楷體" w:hAnsi="Times New Roman"/>
          <w:color w:val="000000" w:themeColor="text1"/>
          <w:sz w:val="32"/>
          <w:szCs w:val="32"/>
        </w:rPr>
        <w:t>GW</w:t>
      </w:r>
      <w:r w:rsidRPr="00A92257">
        <w:rPr>
          <w:rFonts w:ascii="Times New Roman" w:eastAsia="標楷體" w:hAnsi="Times New Roman"/>
          <w:color w:val="000000" w:themeColor="text1"/>
          <w:sz w:val="32"/>
          <w:szCs w:val="32"/>
        </w:rPr>
        <w:t>：</w:t>
      </w:r>
    </w:p>
    <w:p w:rsidR="00AA506E" w:rsidRPr="00A92257" w:rsidRDefault="00AA506E" w:rsidP="00FF61B1">
      <w:pPr>
        <w:widowControl/>
        <w:numPr>
          <w:ilvl w:val="0"/>
          <w:numId w:val="21"/>
        </w:numPr>
        <w:suppressAutoHyphens w:val="0"/>
        <w:snapToGrid w:val="0"/>
        <w:spacing w:line="500" w:lineRule="exact"/>
        <w:jc w:val="both"/>
        <w:textAlignment w:val="auto"/>
        <w:rPr>
          <w:rFonts w:ascii="Times New Roman" w:eastAsia="標楷體" w:hAnsi="Times New Roman"/>
          <w:color w:val="000000" w:themeColor="text1"/>
          <w:kern w:val="0"/>
          <w:sz w:val="32"/>
          <w:szCs w:val="32"/>
        </w:rPr>
      </w:pPr>
      <w:r w:rsidRPr="00A92257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2"/>
          <w:lang w:bidi="ar-SA"/>
        </w:rPr>
        <w:t>屋頂型推動</w:t>
      </w:r>
      <w:r w:rsidRPr="00A92257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2"/>
          <w:lang w:bidi="ar-SA"/>
        </w:rPr>
        <w:t>8 GW</w:t>
      </w:r>
      <w:r w:rsidRPr="00A92257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2"/>
          <w:lang w:bidi="ar-SA"/>
        </w:rPr>
        <w:t>，</w:t>
      </w:r>
      <w:r w:rsidRPr="00A92257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2"/>
          <w:lang w:bidi="ar-SA"/>
        </w:rPr>
        <w:t>108</w:t>
      </w:r>
      <w:r w:rsidRPr="00A92257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2"/>
          <w:lang w:bidi="ar-SA"/>
        </w:rPr>
        <w:t>年底已提前達成原先設定</w:t>
      </w:r>
      <w:r w:rsidRPr="00A92257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2"/>
          <w:lang w:bidi="ar-SA"/>
        </w:rPr>
        <w:t>114</w:t>
      </w:r>
      <w:r w:rsidRPr="00A92257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2"/>
          <w:lang w:bidi="ar-SA"/>
        </w:rPr>
        <w:t>年屋頂型</w:t>
      </w:r>
      <w:r w:rsidRPr="00A92257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2"/>
          <w:lang w:bidi="ar-SA"/>
        </w:rPr>
        <w:t>3 GW</w:t>
      </w:r>
      <w:r w:rsidRPr="00A92257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2"/>
          <w:lang w:bidi="ar-SA"/>
        </w:rPr>
        <w:t>目標，擴大新增盤點，</w:t>
      </w:r>
      <w:r w:rsidR="00F94815" w:rsidRPr="00A92257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2"/>
          <w:lang w:bidi="ar-SA"/>
        </w:rPr>
        <w:t>推動學校、公有、農業、工業等屋頂。</w:t>
      </w:r>
      <w:r w:rsidRPr="00A92257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2"/>
          <w:lang w:bidi="ar-SA"/>
        </w:rPr>
        <w:t>。</w:t>
      </w:r>
    </w:p>
    <w:p w:rsidR="00AA506E" w:rsidRPr="00A92257" w:rsidRDefault="00AA506E" w:rsidP="00FF61B1">
      <w:pPr>
        <w:widowControl/>
        <w:numPr>
          <w:ilvl w:val="0"/>
          <w:numId w:val="21"/>
        </w:numPr>
        <w:suppressAutoHyphens w:val="0"/>
        <w:snapToGrid w:val="0"/>
        <w:spacing w:line="500" w:lineRule="exact"/>
        <w:jc w:val="both"/>
        <w:textAlignment w:val="auto"/>
        <w:rPr>
          <w:rFonts w:ascii="Times New Roman" w:eastAsia="標楷體" w:hAnsi="Times New Roman"/>
          <w:color w:val="000000" w:themeColor="text1"/>
          <w:kern w:val="0"/>
          <w:sz w:val="32"/>
          <w:szCs w:val="32"/>
        </w:rPr>
      </w:pPr>
      <w:r w:rsidRPr="00A92257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2"/>
          <w:lang w:bidi="ar-SA"/>
        </w:rPr>
        <w:t>地面型推動</w:t>
      </w:r>
      <w:r w:rsidRPr="00A92257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2"/>
          <w:lang w:bidi="ar-SA"/>
        </w:rPr>
        <w:t>12 GW</w:t>
      </w:r>
      <w:r w:rsidRPr="00A92257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2"/>
          <w:lang w:bidi="ar-SA"/>
        </w:rPr>
        <w:t>，透過劃設專區、政府解決行政程序、業者整合土地，由各部會及地方政府合作達成，優先推動</w:t>
      </w:r>
      <w:r w:rsidR="00F94815" w:rsidRPr="00A92257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2"/>
          <w:lang w:bidi="ar-SA"/>
        </w:rPr>
        <w:t>具社會共識及無環境生態爭議之專案場域，</w:t>
      </w:r>
      <w:proofErr w:type="gramStart"/>
      <w:r w:rsidR="00F94815" w:rsidRPr="00A92257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2"/>
          <w:lang w:bidi="ar-SA"/>
        </w:rPr>
        <w:t>包含</w:t>
      </w:r>
      <w:r w:rsidRPr="00A92257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2"/>
          <w:lang w:bidi="ar-SA"/>
        </w:rPr>
        <w:t>漁電共生</w:t>
      </w:r>
      <w:proofErr w:type="gramEnd"/>
      <w:r w:rsidRPr="00A92257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2"/>
          <w:lang w:bidi="ar-SA"/>
        </w:rPr>
        <w:t>、已整治汙染土地、國有非公用土地、風雨球場</w:t>
      </w:r>
      <w:r w:rsidR="00F94815" w:rsidRPr="00A92257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2"/>
          <w:lang w:bidi="ar-SA"/>
        </w:rPr>
        <w:t>等</w:t>
      </w:r>
      <w:r w:rsidRPr="00A92257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2"/>
          <w:lang w:bidi="ar-SA"/>
        </w:rPr>
        <w:t>。</w:t>
      </w:r>
    </w:p>
    <w:p w:rsidR="00DF1AA7" w:rsidRPr="00A92257" w:rsidRDefault="00902EF1">
      <w:pPr>
        <w:pStyle w:val="a6"/>
        <w:widowControl/>
        <w:numPr>
          <w:ilvl w:val="0"/>
          <w:numId w:val="16"/>
        </w:numPr>
        <w:suppressAutoHyphens w:val="0"/>
        <w:autoSpaceDE w:val="0"/>
        <w:snapToGrid w:val="0"/>
        <w:spacing w:line="500" w:lineRule="exact"/>
        <w:jc w:val="both"/>
        <w:textAlignment w:val="auto"/>
        <w:rPr>
          <w:rFonts w:ascii="Times New Roman" w:eastAsia="標楷體" w:hAnsi="Times New Roman"/>
          <w:color w:val="000000" w:themeColor="text1"/>
          <w:sz w:val="32"/>
          <w:szCs w:val="32"/>
        </w:rPr>
      </w:pPr>
      <w:r w:rsidRPr="00A92257">
        <w:rPr>
          <w:rFonts w:ascii="Times New Roman" w:eastAsia="標楷體" w:hAnsi="Times New Roman"/>
          <w:color w:val="000000" w:themeColor="text1"/>
          <w:sz w:val="32"/>
          <w:szCs w:val="32"/>
        </w:rPr>
        <w:t>其他再生能源：地熱</w:t>
      </w:r>
      <w:r w:rsidR="00C12120" w:rsidRPr="00A92257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以</w:t>
      </w:r>
      <w:r w:rsidR="0098295F" w:rsidRPr="00A92257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「</w:t>
      </w:r>
      <w:r w:rsidR="00C55783" w:rsidRPr="00A92257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加速傳統型開發，擴大地熱資源探</w:t>
      </w:r>
      <w:proofErr w:type="gramStart"/>
      <w:r w:rsidR="00C55783" w:rsidRPr="00A92257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勘</w:t>
      </w:r>
      <w:proofErr w:type="gramEnd"/>
      <w:r w:rsidRPr="00A92257">
        <w:rPr>
          <w:rFonts w:ascii="Times New Roman" w:eastAsia="標楷體" w:hAnsi="Times New Roman"/>
          <w:color w:val="000000" w:themeColor="text1"/>
          <w:sz w:val="32"/>
          <w:szCs w:val="32"/>
        </w:rPr>
        <w:t>」</w:t>
      </w:r>
      <w:r w:rsidR="00C12120" w:rsidRPr="00A92257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方式推動</w:t>
      </w:r>
      <w:r w:rsidRPr="00A92257">
        <w:rPr>
          <w:rFonts w:ascii="Times New Roman" w:eastAsia="標楷體" w:hAnsi="Times New Roman"/>
          <w:color w:val="000000" w:themeColor="text1"/>
          <w:sz w:val="32"/>
          <w:szCs w:val="32"/>
        </w:rPr>
        <w:t>；水力</w:t>
      </w:r>
      <w:proofErr w:type="gramStart"/>
      <w:r w:rsidRPr="00A92257">
        <w:rPr>
          <w:rFonts w:ascii="Times New Roman" w:eastAsia="標楷體" w:hAnsi="Times New Roman"/>
          <w:color w:val="000000" w:themeColor="text1"/>
          <w:sz w:val="32"/>
          <w:szCs w:val="32"/>
        </w:rPr>
        <w:t>採</w:t>
      </w:r>
      <w:proofErr w:type="gramEnd"/>
      <w:r w:rsidRPr="00A92257">
        <w:rPr>
          <w:rFonts w:ascii="Times New Roman" w:eastAsia="標楷體" w:hAnsi="Times New Roman"/>
          <w:color w:val="000000" w:themeColor="text1"/>
          <w:sz w:val="32"/>
          <w:szCs w:val="32"/>
        </w:rPr>
        <w:t>「</w:t>
      </w:r>
      <w:r w:rsidR="0098295F" w:rsidRPr="00A92257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台電與民間雙管齊下；開發對環境友善</w:t>
      </w:r>
      <w:r w:rsidR="00153F6C" w:rsidRPr="00A92257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之</w:t>
      </w:r>
      <w:r w:rsidR="0098295F" w:rsidRPr="00A92257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水力資源</w:t>
      </w:r>
      <w:r w:rsidRPr="00A92257">
        <w:rPr>
          <w:rFonts w:ascii="Times New Roman" w:eastAsia="標楷體" w:hAnsi="Times New Roman"/>
          <w:color w:val="000000" w:themeColor="text1"/>
          <w:sz w:val="32"/>
          <w:szCs w:val="32"/>
        </w:rPr>
        <w:t>」</w:t>
      </w:r>
      <w:r w:rsidR="00C12120" w:rsidRPr="00A92257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策略發展</w:t>
      </w:r>
      <w:r w:rsidRPr="00A92257">
        <w:rPr>
          <w:rFonts w:ascii="Times New Roman" w:eastAsia="標楷體" w:hAnsi="Times New Roman"/>
          <w:color w:val="000000" w:themeColor="text1"/>
          <w:sz w:val="32"/>
          <w:szCs w:val="32"/>
        </w:rPr>
        <w:t>；生質能</w:t>
      </w:r>
      <w:proofErr w:type="gramStart"/>
      <w:r w:rsidRPr="00A92257">
        <w:rPr>
          <w:rFonts w:ascii="Times New Roman" w:eastAsia="標楷體" w:hAnsi="Times New Roman"/>
          <w:color w:val="000000" w:themeColor="text1"/>
          <w:sz w:val="32"/>
          <w:szCs w:val="32"/>
        </w:rPr>
        <w:t>採</w:t>
      </w:r>
      <w:proofErr w:type="gramEnd"/>
      <w:r w:rsidRPr="00A92257">
        <w:rPr>
          <w:rFonts w:ascii="Times New Roman" w:eastAsia="標楷體" w:hAnsi="Times New Roman"/>
          <w:color w:val="000000" w:themeColor="text1"/>
          <w:sz w:val="32"/>
          <w:szCs w:val="32"/>
        </w:rPr>
        <w:t>「</w:t>
      </w:r>
      <w:proofErr w:type="gramStart"/>
      <w:r w:rsidR="00AE4E1D" w:rsidRPr="00A92257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以躉購制度</w:t>
      </w:r>
      <w:proofErr w:type="gramEnd"/>
      <w:r w:rsidR="00AE4E1D" w:rsidRPr="00A92257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為推動主軸，輔以示範獎勵推廣沼氣發電</w:t>
      </w:r>
      <w:r w:rsidRPr="00A92257">
        <w:rPr>
          <w:rFonts w:ascii="Times New Roman" w:eastAsia="標楷體" w:hAnsi="Times New Roman"/>
          <w:color w:val="000000" w:themeColor="text1"/>
          <w:sz w:val="32"/>
          <w:szCs w:val="32"/>
        </w:rPr>
        <w:t>」</w:t>
      </w:r>
      <w:r w:rsidR="00153F6C" w:rsidRPr="00A92257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作法</w:t>
      </w:r>
      <w:r w:rsidR="0098295F" w:rsidRPr="00A92257">
        <w:rPr>
          <w:rFonts w:ascii="Times New Roman" w:eastAsia="標楷體" w:hAnsi="Times New Roman"/>
          <w:color w:val="000000" w:themeColor="text1"/>
          <w:sz w:val="32"/>
          <w:szCs w:val="32"/>
        </w:rPr>
        <w:t>；</w:t>
      </w:r>
      <w:r w:rsidR="00F94815" w:rsidRPr="00A92257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燃料電池</w:t>
      </w:r>
      <w:r w:rsidR="0098295F" w:rsidRPr="00A92257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以發展「定置型發電</w:t>
      </w:r>
      <w:bookmarkStart w:id="0" w:name="_GoBack"/>
      <w:bookmarkEnd w:id="0"/>
      <w:r w:rsidR="0098295F" w:rsidRPr="00A92257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系統、備用電力系統」為策略，配合沙崙園區建置，進行燃料電池長時間運轉實證。</w:t>
      </w:r>
    </w:p>
    <w:p w:rsidR="006C5DB2" w:rsidRPr="00A92257" w:rsidRDefault="006C5DB2">
      <w:pPr>
        <w:spacing w:line="500" w:lineRule="exact"/>
        <w:rPr>
          <w:rFonts w:ascii="Times New Roman" w:eastAsia="標楷體" w:hAnsi="Times New Roman" w:cs="Times New Roman"/>
          <w:color w:val="000000" w:themeColor="text1"/>
          <w:sz w:val="32"/>
          <w:szCs w:val="32"/>
          <w:lang w:bidi="ar-SA"/>
        </w:rPr>
      </w:pPr>
    </w:p>
    <w:sectPr w:rsidR="006C5DB2" w:rsidRPr="00A92257">
      <w:footerReference w:type="default" r:id="rId11"/>
      <w:pgSz w:w="11906" w:h="16838"/>
      <w:pgMar w:top="1440" w:right="1800" w:bottom="1440" w:left="1800" w:header="720" w:footer="992" w:gutter="0"/>
      <w:cols w:space="720"/>
      <w:docGrid w:type="lines" w:linePitch="5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876" w:rsidRDefault="00137876">
      <w:r>
        <w:separator/>
      </w:r>
    </w:p>
  </w:endnote>
  <w:endnote w:type="continuationSeparator" w:id="0">
    <w:p w:rsidR="00137876" w:rsidRDefault="00137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3025893"/>
      <w:docPartObj>
        <w:docPartGallery w:val="Page Numbers (Bottom of Page)"/>
        <w:docPartUnique/>
      </w:docPartObj>
    </w:sdtPr>
    <w:sdtContent>
      <w:p w:rsidR="00991CB1" w:rsidRDefault="00991CB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91CB1">
          <w:rPr>
            <w:noProof/>
            <w:lang w:val="zh-TW"/>
          </w:rPr>
          <w:t>2</w:t>
        </w:r>
        <w:r>
          <w:fldChar w:fldCharType="end"/>
        </w:r>
      </w:p>
    </w:sdtContent>
  </w:sdt>
  <w:p w:rsidR="00991CB1" w:rsidRDefault="00991CB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876" w:rsidRDefault="00137876">
      <w:r>
        <w:rPr>
          <w:color w:val="000000"/>
        </w:rPr>
        <w:separator/>
      </w:r>
    </w:p>
  </w:footnote>
  <w:footnote w:type="continuationSeparator" w:id="0">
    <w:p w:rsidR="00137876" w:rsidRDefault="00137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5675"/>
    <w:multiLevelType w:val="multilevel"/>
    <w:tmpl w:val="23CED9B2"/>
    <w:styleLink w:val="WW8Num6"/>
    <w:lvl w:ilvl="0">
      <w:start w:val="1"/>
      <w:numFmt w:val="decimal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10931176"/>
    <w:multiLevelType w:val="multilevel"/>
    <w:tmpl w:val="40E63DB4"/>
    <w:styleLink w:val="WW8Num4"/>
    <w:lvl w:ilvl="0">
      <w:start w:val="1"/>
      <w:numFmt w:val="japaneseCounting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13706FB4"/>
    <w:multiLevelType w:val="multilevel"/>
    <w:tmpl w:val="15B2CAD0"/>
    <w:styleLink w:val="WW8Num3"/>
    <w:lvl w:ilvl="0">
      <w:start w:val="1"/>
      <w:numFmt w:val="decimal"/>
      <w:lvlText w:val="%1."/>
      <w:lvlJc w:val="left"/>
      <w:rPr>
        <w:rFonts w:ascii="Times New Roman" w:eastAsia="標楷體" w:hAnsi="Times New Roman" w:cs="Times New Roman"/>
        <w:sz w:val="32"/>
        <w:szCs w:val="32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16BC5809"/>
    <w:multiLevelType w:val="multilevel"/>
    <w:tmpl w:val="4FB690DA"/>
    <w:styleLink w:val="WW8Num7"/>
    <w:lvl w:ilvl="0">
      <w:start w:val="1"/>
      <w:numFmt w:val="japaneseCounting"/>
      <w:lvlText w:val="%1、"/>
      <w:lvlJc w:val="left"/>
      <w:rPr>
        <w:rFonts w:ascii="Times New Roman" w:eastAsia="標楷體" w:hAnsi="Times New Roman" w:cs="Times New Roman"/>
        <w:sz w:val="32"/>
        <w:szCs w:val="32"/>
      </w:rPr>
    </w:lvl>
    <w:lvl w:ilvl="1">
      <w:start w:val="1"/>
      <w:numFmt w:val="decimal"/>
      <w:lvlText w:val="%2."/>
      <w:lvlJc w:val="left"/>
      <w:rPr>
        <w:rFonts w:ascii="Times New Roman" w:eastAsia="標楷體" w:hAnsi="Times New Roman" w:cs="Times New Roman"/>
        <w:sz w:val="32"/>
        <w:szCs w:val="32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2C3076FD"/>
    <w:multiLevelType w:val="multilevel"/>
    <w:tmpl w:val="1F9C2DEE"/>
    <w:lvl w:ilvl="0">
      <w:start w:val="1"/>
      <w:numFmt w:val="decimal"/>
      <w:lvlText w:val="%1."/>
      <w:lvlJc w:val="left"/>
      <w:pPr>
        <w:ind w:left="960" w:hanging="480"/>
      </w:pPr>
      <w:rPr>
        <w:rFonts w:ascii="Times New Roman" w:hAnsi="Times New Roman" w:cs="Times New Roman"/>
        <w:sz w:val="32"/>
      </w:rPr>
    </w:lvl>
    <w:lvl w:ilvl="1">
      <w:numFmt w:val="bullet"/>
      <w:lvlText w:val=""/>
      <w:lvlJc w:val="left"/>
      <w:pPr>
        <w:ind w:left="144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92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40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88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36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84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32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800" w:hanging="480"/>
      </w:pPr>
      <w:rPr>
        <w:rFonts w:ascii="Wingdings" w:hAnsi="Wingdings"/>
      </w:rPr>
    </w:lvl>
  </w:abstractNum>
  <w:abstractNum w:abstractNumId="5">
    <w:nsid w:val="31763C9F"/>
    <w:multiLevelType w:val="multilevel"/>
    <w:tmpl w:val="D6FE59F6"/>
    <w:styleLink w:val="WW8Num8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34B13354"/>
    <w:multiLevelType w:val="multilevel"/>
    <w:tmpl w:val="9380FB88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366C7CE8"/>
    <w:multiLevelType w:val="multilevel"/>
    <w:tmpl w:val="404889B8"/>
    <w:lvl w:ilvl="0">
      <w:start w:val="1"/>
      <w:numFmt w:val="decimal"/>
      <w:lvlText w:val="(%1)"/>
      <w:lvlJc w:val="left"/>
      <w:pPr>
        <w:ind w:left="1571" w:hanging="720"/>
      </w:pPr>
      <w:rPr>
        <w:rFonts w:ascii="Times New Roman" w:hAnsi="Times New Roman" w:cs="Times New Roman"/>
        <w:b w:val="0"/>
        <w:color w:val="auto"/>
        <w:sz w:val="32"/>
      </w:rPr>
    </w:lvl>
    <w:lvl w:ilvl="1">
      <w:start w:val="1"/>
      <w:numFmt w:val="ideographTraditional"/>
      <w:lvlText w:val="%2、"/>
      <w:lvlJc w:val="left"/>
      <w:pPr>
        <w:ind w:left="1811" w:hanging="480"/>
      </w:pPr>
    </w:lvl>
    <w:lvl w:ilvl="2">
      <w:start w:val="1"/>
      <w:numFmt w:val="lowerRoman"/>
      <w:lvlText w:val="%3."/>
      <w:lvlJc w:val="right"/>
      <w:pPr>
        <w:ind w:left="2291" w:hanging="480"/>
      </w:pPr>
    </w:lvl>
    <w:lvl w:ilvl="3">
      <w:start w:val="1"/>
      <w:numFmt w:val="decimal"/>
      <w:lvlText w:val="%4."/>
      <w:lvlJc w:val="left"/>
      <w:pPr>
        <w:ind w:left="2771" w:hanging="480"/>
      </w:pPr>
    </w:lvl>
    <w:lvl w:ilvl="4">
      <w:start w:val="1"/>
      <w:numFmt w:val="ideographTraditional"/>
      <w:lvlText w:val="%5、"/>
      <w:lvlJc w:val="left"/>
      <w:pPr>
        <w:ind w:left="3251" w:hanging="480"/>
      </w:pPr>
    </w:lvl>
    <w:lvl w:ilvl="5">
      <w:start w:val="1"/>
      <w:numFmt w:val="lowerRoman"/>
      <w:lvlText w:val="%6."/>
      <w:lvlJc w:val="right"/>
      <w:pPr>
        <w:ind w:left="3731" w:hanging="480"/>
      </w:pPr>
    </w:lvl>
    <w:lvl w:ilvl="6">
      <w:start w:val="1"/>
      <w:numFmt w:val="decimal"/>
      <w:lvlText w:val="%7."/>
      <w:lvlJc w:val="left"/>
      <w:pPr>
        <w:ind w:left="4211" w:hanging="480"/>
      </w:pPr>
    </w:lvl>
    <w:lvl w:ilvl="7">
      <w:start w:val="1"/>
      <w:numFmt w:val="ideographTraditional"/>
      <w:lvlText w:val="%8、"/>
      <w:lvlJc w:val="left"/>
      <w:pPr>
        <w:ind w:left="4691" w:hanging="480"/>
      </w:pPr>
    </w:lvl>
    <w:lvl w:ilvl="8">
      <w:start w:val="1"/>
      <w:numFmt w:val="lowerRoman"/>
      <w:lvlText w:val="%9."/>
      <w:lvlJc w:val="right"/>
      <w:pPr>
        <w:ind w:left="5171" w:hanging="480"/>
      </w:pPr>
    </w:lvl>
  </w:abstractNum>
  <w:abstractNum w:abstractNumId="8">
    <w:nsid w:val="4EF43B5A"/>
    <w:multiLevelType w:val="multilevel"/>
    <w:tmpl w:val="67A6C7D0"/>
    <w:styleLink w:val="WW8Num5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52F4341B"/>
    <w:multiLevelType w:val="multilevel"/>
    <w:tmpl w:val="404889B8"/>
    <w:lvl w:ilvl="0">
      <w:start w:val="1"/>
      <w:numFmt w:val="decimal"/>
      <w:lvlText w:val="(%1)"/>
      <w:lvlJc w:val="left"/>
      <w:pPr>
        <w:ind w:left="1571" w:hanging="720"/>
      </w:pPr>
      <w:rPr>
        <w:rFonts w:ascii="Times New Roman" w:hAnsi="Times New Roman" w:cs="Times New Roman"/>
        <w:b w:val="0"/>
        <w:color w:val="auto"/>
        <w:sz w:val="32"/>
      </w:rPr>
    </w:lvl>
    <w:lvl w:ilvl="1">
      <w:start w:val="1"/>
      <w:numFmt w:val="ideographTraditional"/>
      <w:lvlText w:val="%2、"/>
      <w:lvlJc w:val="left"/>
      <w:pPr>
        <w:ind w:left="1811" w:hanging="480"/>
      </w:pPr>
    </w:lvl>
    <w:lvl w:ilvl="2">
      <w:start w:val="1"/>
      <w:numFmt w:val="lowerRoman"/>
      <w:lvlText w:val="%3."/>
      <w:lvlJc w:val="right"/>
      <w:pPr>
        <w:ind w:left="2291" w:hanging="480"/>
      </w:pPr>
    </w:lvl>
    <w:lvl w:ilvl="3">
      <w:start w:val="1"/>
      <w:numFmt w:val="decimal"/>
      <w:lvlText w:val="%4."/>
      <w:lvlJc w:val="left"/>
      <w:pPr>
        <w:ind w:left="2771" w:hanging="480"/>
      </w:pPr>
    </w:lvl>
    <w:lvl w:ilvl="4">
      <w:start w:val="1"/>
      <w:numFmt w:val="ideographTraditional"/>
      <w:lvlText w:val="%5、"/>
      <w:lvlJc w:val="left"/>
      <w:pPr>
        <w:ind w:left="3251" w:hanging="480"/>
      </w:pPr>
    </w:lvl>
    <w:lvl w:ilvl="5">
      <w:start w:val="1"/>
      <w:numFmt w:val="lowerRoman"/>
      <w:lvlText w:val="%6."/>
      <w:lvlJc w:val="right"/>
      <w:pPr>
        <w:ind w:left="3731" w:hanging="480"/>
      </w:pPr>
    </w:lvl>
    <w:lvl w:ilvl="6">
      <w:start w:val="1"/>
      <w:numFmt w:val="decimal"/>
      <w:lvlText w:val="%7."/>
      <w:lvlJc w:val="left"/>
      <w:pPr>
        <w:ind w:left="4211" w:hanging="480"/>
      </w:pPr>
    </w:lvl>
    <w:lvl w:ilvl="7">
      <w:start w:val="1"/>
      <w:numFmt w:val="ideographTraditional"/>
      <w:lvlText w:val="%8、"/>
      <w:lvlJc w:val="left"/>
      <w:pPr>
        <w:ind w:left="4691" w:hanging="480"/>
      </w:pPr>
    </w:lvl>
    <w:lvl w:ilvl="8">
      <w:start w:val="1"/>
      <w:numFmt w:val="lowerRoman"/>
      <w:lvlText w:val="%9."/>
      <w:lvlJc w:val="right"/>
      <w:pPr>
        <w:ind w:left="5171" w:hanging="480"/>
      </w:pPr>
    </w:lvl>
  </w:abstractNum>
  <w:abstractNum w:abstractNumId="10">
    <w:nsid w:val="54910446"/>
    <w:multiLevelType w:val="hybridMultilevel"/>
    <w:tmpl w:val="E244F96E"/>
    <w:lvl w:ilvl="0" w:tplc="7E20F6A0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1">
    <w:nsid w:val="63864B6E"/>
    <w:multiLevelType w:val="multilevel"/>
    <w:tmpl w:val="10B4259E"/>
    <w:styleLink w:val="WW8Num9"/>
    <w:lvl w:ilvl="0">
      <w:start w:val="1"/>
      <w:numFmt w:val="japaneseCounting"/>
      <w:lvlText w:val="(%1)"/>
      <w:lvlJc w:val="left"/>
      <w:rPr>
        <w:rFonts w:ascii="Times New Roman" w:eastAsia="標楷體" w:hAnsi="Times New Roman" w:cs="Times New Roman"/>
        <w:sz w:val="32"/>
        <w:szCs w:val="32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2">
    <w:nsid w:val="682062A4"/>
    <w:multiLevelType w:val="multilevel"/>
    <w:tmpl w:val="CF3011C0"/>
    <w:styleLink w:val="WW8Num1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6D603D47"/>
    <w:multiLevelType w:val="multilevel"/>
    <w:tmpl w:val="3D1A8434"/>
    <w:lvl w:ilvl="0">
      <w:start w:val="1"/>
      <w:numFmt w:val="decimal"/>
      <w:lvlText w:val="(%1)"/>
      <w:lvlJc w:val="left"/>
      <w:pPr>
        <w:ind w:left="536" w:hanging="480"/>
      </w:pPr>
    </w:lvl>
    <w:lvl w:ilvl="1">
      <w:start w:val="1"/>
      <w:numFmt w:val="ideographTraditional"/>
      <w:lvlText w:val="%2、"/>
      <w:lvlJc w:val="left"/>
      <w:pPr>
        <w:ind w:left="1016" w:hanging="480"/>
      </w:pPr>
    </w:lvl>
    <w:lvl w:ilvl="2">
      <w:start w:val="1"/>
      <w:numFmt w:val="lowerRoman"/>
      <w:lvlText w:val="%3."/>
      <w:lvlJc w:val="right"/>
      <w:pPr>
        <w:ind w:left="1496" w:hanging="480"/>
      </w:pPr>
    </w:lvl>
    <w:lvl w:ilvl="3">
      <w:start w:val="1"/>
      <w:numFmt w:val="decimal"/>
      <w:lvlText w:val="%4."/>
      <w:lvlJc w:val="left"/>
      <w:pPr>
        <w:ind w:left="1976" w:hanging="480"/>
      </w:pPr>
    </w:lvl>
    <w:lvl w:ilvl="4">
      <w:start w:val="1"/>
      <w:numFmt w:val="ideographTraditional"/>
      <w:lvlText w:val="%5、"/>
      <w:lvlJc w:val="left"/>
      <w:pPr>
        <w:ind w:left="2456" w:hanging="480"/>
      </w:pPr>
    </w:lvl>
    <w:lvl w:ilvl="5">
      <w:start w:val="1"/>
      <w:numFmt w:val="lowerRoman"/>
      <w:lvlText w:val="%6."/>
      <w:lvlJc w:val="right"/>
      <w:pPr>
        <w:ind w:left="2936" w:hanging="480"/>
      </w:pPr>
    </w:lvl>
    <w:lvl w:ilvl="6">
      <w:start w:val="1"/>
      <w:numFmt w:val="decimal"/>
      <w:lvlText w:val="%7."/>
      <w:lvlJc w:val="left"/>
      <w:pPr>
        <w:ind w:left="3416" w:hanging="480"/>
      </w:pPr>
    </w:lvl>
    <w:lvl w:ilvl="7">
      <w:start w:val="1"/>
      <w:numFmt w:val="ideographTraditional"/>
      <w:lvlText w:val="%8、"/>
      <w:lvlJc w:val="left"/>
      <w:pPr>
        <w:ind w:left="3896" w:hanging="480"/>
      </w:pPr>
    </w:lvl>
    <w:lvl w:ilvl="8">
      <w:start w:val="1"/>
      <w:numFmt w:val="lowerRoman"/>
      <w:lvlText w:val="%9."/>
      <w:lvlJc w:val="right"/>
      <w:pPr>
        <w:ind w:left="4376" w:hanging="480"/>
      </w:pPr>
    </w:lvl>
  </w:abstractNum>
  <w:abstractNum w:abstractNumId="14">
    <w:nsid w:val="70390806"/>
    <w:multiLevelType w:val="multilevel"/>
    <w:tmpl w:val="23CED9B2"/>
    <w:lvl w:ilvl="0">
      <w:start w:val="1"/>
      <w:numFmt w:val="decimal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71575EA3"/>
    <w:multiLevelType w:val="multilevel"/>
    <w:tmpl w:val="AE8801DC"/>
    <w:lvl w:ilvl="0">
      <w:start w:val="1"/>
      <w:numFmt w:val="decimal"/>
      <w:lvlText w:val="(%1)"/>
      <w:lvlJc w:val="left"/>
      <w:pPr>
        <w:ind w:left="1571" w:hanging="720"/>
      </w:pPr>
      <w:rPr>
        <w:b w:val="0"/>
        <w:color w:val="auto"/>
        <w:sz w:val="32"/>
      </w:rPr>
    </w:lvl>
    <w:lvl w:ilvl="1">
      <w:start w:val="1"/>
      <w:numFmt w:val="ideographTraditional"/>
      <w:lvlText w:val="%2、"/>
      <w:lvlJc w:val="left"/>
      <w:pPr>
        <w:ind w:left="1811" w:hanging="480"/>
      </w:pPr>
    </w:lvl>
    <w:lvl w:ilvl="2">
      <w:start w:val="1"/>
      <w:numFmt w:val="lowerRoman"/>
      <w:lvlText w:val="%3."/>
      <w:lvlJc w:val="right"/>
      <w:pPr>
        <w:ind w:left="2291" w:hanging="480"/>
      </w:pPr>
    </w:lvl>
    <w:lvl w:ilvl="3">
      <w:start w:val="1"/>
      <w:numFmt w:val="decimal"/>
      <w:lvlText w:val="%4."/>
      <w:lvlJc w:val="left"/>
      <w:pPr>
        <w:ind w:left="2771" w:hanging="480"/>
      </w:pPr>
    </w:lvl>
    <w:lvl w:ilvl="4">
      <w:start w:val="1"/>
      <w:numFmt w:val="ideographTraditional"/>
      <w:lvlText w:val="%5、"/>
      <w:lvlJc w:val="left"/>
      <w:pPr>
        <w:ind w:left="3251" w:hanging="480"/>
      </w:pPr>
    </w:lvl>
    <w:lvl w:ilvl="5">
      <w:start w:val="1"/>
      <w:numFmt w:val="lowerRoman"/>
      <w:lvlText w:val="%6."/>
      <w:lvlJc w:val="right"/>
      <w:pPr>
        <w:ind w:left="3731" w:hanging="480"/>
      </w:pPr>
    </w:lvl>
    <w:lvl w:ilvl="6">
      <w:start w:val="1"/>
      <w:numFmt w:val="decimal"/>
      <w:lvlText w:val="%7."/>
      <w:lvlJc w:val="left"/>
      <w:pPr>
        <w:ind w:left="4211" w:hanging="480"/>
      </w:pPr>
    </w:lvl>
    <w:lvl w:ilvl="7">
      <w:start w:val="1"/>
      <w:numFmt w:val="ideographTraditional"/>
      <w:lvlText w:val="%8、"/>
      <w:lvlJc w:val="left"/>
      <w:pPr>
        <w:ind w:left="4691" w:hanging="480"/>
      </w:pPr>
    </w:lvl>
    <w:lvl w:ilvl="8">
      <w:start w:val="1"/>
      <w:numFmt w:val="lowerRoman"/>
      <w:lvlText w:val="%9."/>
      <w:lvlJc w:val="right"/>
      <w:pPr>
        <w:ind w:left="5171" w:hanging="480"/>
      </w:pPr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1"/>
  </w:num>
  <w:num w:numId="5">
    <w:abstractNumId w:val="8"/>
  </w:num>
  <w:num w:numId="6">
    <w:abstractNumId w:val="0"/>
  </w:num>
  <w:num w:numId="7">
    <w:abstractNumId w:val="3"/>
  </w:num>
  <w:num w:numId="8">
    <w:abstractNumId w:val="5"/>
  </w:num>
  <w:num w:numId="9">
    <w:abstractNumId w:val="11"/>
  </w:num>
  <w:num w:numId="10">
    <w:abstractNumId w:val="3"/>
    <w:lvlOverride w:ilvl="0">
      <w:startOverride w:val="1"/>
    </w:lvlOverride>
  </w:num>
  <w:num w:numId="11">
    <w:abstractNumId w:val="11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8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4"/>
  </w:num>
  <w:num w:numId="17">
    <w:abstractNumId w:val="7"/>
  </w:num>
  <w:num w:numId="18">
    <w:abstractNumId w:val="15"/>
  </w:num>
  <w:num w:numId="19">
    <w:abstractNumId w:val="10"/>
  </w:num>
  <w:num w:numId="20">
    <w:abstractNumId w:val="14"/>
  </w:num>
  <w:num w:numId="21">
    <w:abstractNumId w:val="9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autoHyphenation/>
  <w:drawingGridHorizontalSpacing w:val="120"/>
  <w:drawingGridVerticalSpacing w:val="52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AA7"/>
    <w:rsid w:val="000113EF"/>
    <w:rsid w:val="000225B5"/>
    <w:rsid w:val="00036467"/>
    <w:rsid w:val="00061B0E"/>
    <w:rsid w:val="00114EEA"/>
    <w:rsid w:val="001177D0"/>
    <w:rsid w:val="00126B5B"/>
    <w:rsid w:val="00137876"/>
    <w:rsid w:val="00153F6C"/>
    <w:rsid w:val="001C09A2"/>
    <w:rsid w:val="002002E6"/>
    <w:rsid w:val="002014A9"/>
    <w:rsid w:val="00250384"/>
    <w:rsid w:val="002A7276"/>
    <w:rsid w:val="002D1751"/>
    <w:rsid w:val="00314145"/>
    <w:rsid w:val="003923D8"/>
    <w:rsid w:val="00392571"/>
    <w:rsid w:val="00392A3D"/>
    <w:rsid w:val="003A751D"/>
    <w:rsid w:val="003B2A63"/>
    <w:rsid w:val="00491960"/>
    <w:rsid w:val="00523573"/>
    <w:rsid w:val="00577A13"/>
    <w:rsid w:val="006476CC"/>
    <w:rsid w:val="0066020E"/>
    <w:rsid w:val="00674104"/>
    <w:rsid w:val="006C5DB2"/>
    <w:rsid w:val="006E7F77"/>
    <w:rsid w:val="00701D22"/>
    <w:rsid w:val="00736FD8"/>
    <w:rsid w:val="00755F6B"/>
    <w:rsid w:val="007712FD"/>
    <w:rsid w:val="0079117E"/>
    <w:rsid w:val="0080754D"/>
    <w:rsid w:val="0083464C"/>
    <w:rsid w:val="008E58C9"/>
    <w:rsid w:val="00902EF1"/>
    <w:rsid w:val="0098295F"/>
    <w:rsid w:val="00991CB1"/>
    <w:rsid w:val="009F1A77"/>
    <w:rsid w:val="00A12356"/>
    <w:rsid w:val="00A34AEA"/>
    <w:rsid w:val="00A41096"/>
    <w:rsid w:val="00A7414B"/>
    <w:rsid w:val="00A92257"/>
    <w:rsid w:val="00AA506E"/>
    <w:rsid w:val="00AE4E1D"/>
    <w:rsid w:val="00B11531"/>
    <w:rsid w:val="00B21FF3"/>
    <w:rsid w:val="00B72117"/>
    <w:rsid w:val="00B979C6"/>
    <w:rsid w:val="00BC0A1A"/>
    <w:rsid w:val="00BE7401"/>
    <w:rsid w:val="00C12120"/>
    <w:rsid w:val="00C138F8"/>
    <w:rsid w:val="00C55783"/>
    <w:rsid w:val="00D378CA"/>
    <w:rsid w:val="00DA5643"/>
    <w:rsid w:val="00DE295F"/>
    <w:rsid w:val="00DF1AA7"/>
    <w:rsid w:val="00E63A6F"/>
    <w:rsid w:val="00EA1F6D"/>
    <w:rsid w:val="00F06F4F"/>
    <w:rsid w:val="00F24003"/>
    <w:rsid w:val="00F41642"/>
    <w:rsid w:val="00F82732"/>
    <w:rsid w:val="00F94815"/>
    <w:rsid w:val="00FA0A3A"/>
    <w:rsid w:val="00FB1EF3"/>
    <w:rsid w:val="00FE2D8B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Calibri" w:eastAsia="新細明體, PMingLiU" w:hAnsi="Calibri" w:cs="Times New Roman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Cambria" w:hAnsi="Cambria"/>
      <w:sz w:val="18"/>
      <w:szCs w:val="18"/>
    </w:rPr>
  </w:style>
  <w:style w:type="paragraph" w:styleId="a6">
    <w:name w:val="List Paragraph"/>
    <w:basedOn w:val="Standard"/>
    <w:pPr>
      <w:ind w:left="480"/>
    </w:pPr>
  </w:style>
  <w:style w:type="paragraph" w:styleId="a7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Standard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標楷體" w:hAnsi="Times New Roman" w:cs="Times New Roman"/>
      <w:sz w:val="32"/>
      <w:szCs w:val="3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標楷體" w:hAnsi="Times New Roman" w:cs="Times New Roman"/>
      <w:sz w:val="32"/>
      <w:szCs w:val="32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eastAsia="標楷體" w:hAnsi="Times New Roman" w:cs="Times New Roman"/>
      <w:sz w:val="32"/>
      <w:szCs w:val="32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a9">
    <w:name w:val="註解方塊文字 字元"/>
    <w:rPr>
      <w:rFonts w:ascii="Cambria" w:eastAsia="新細明體, PMingLiU" w:hAnsi="Cambria" w:cs="Times New Roman"/>
      <w:sz w:val="18"/>
      <w:szCs w:val="18"/>
    </w:rPr>
  </w:style>
  <w:style w:type="character" w:customStyle="1" w:styleId="aa">
    <w:name w:val="頁首 字元"/>
    <w:rPr>
      <w:kern w:val="3"/>
    </w:rPr>
  </w:style>
  <w:style w:type="character" w:customStyle="1" w:styleId="ab">
    <w:name w:val="頁尾 字元"/>
    <w:uiPriority w:val="99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table" w:customStyle="1" w:styleId="TableNormal">
    <w:name w:val="Table Normal"/>
    <w:uiPriority w:val="2"/>
    <w:semiHidden/>
    <w:unhideWhenUsed/>
    <w:qFormat/>
    <w:rsid w:val="00DE295F"/>
    <w:pPr>
      <w:autoSpaceDE w:val="0"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DE295F"/>
    <w:pPr>
      <w:suppressAutoHyphens w:val="0"/>
      <w:autoSpaceDE w:val="0"/>
      <w:textAlignment w:val="auto"/>
    </w:pPr>
    <w:rPr>
      <w:rFonts w:ascii="標楷體" w:eastAsia="標楷體" w:hAnsi="標楷體" w:cs="標楷體"/>
      <w:kern w:val="0"/>
      <w:lang w:bidi="ar-SA"/>
    </w:rPr>
  </w:style>
  <w:style w:type="character" w:customStyle="1" w:styleId="ad">
    <w:name w:val="本文 字元"/>
    <w:basedOn w:val="a0"/>
    <w:link w:val="ac"/>
    <w:uiPriority w:val="1"/>
    <w:rsid w:val="00DE295F"/>
    <w:rPr>
      <w:rFonts w:ascii="標楷體" w:eastAsia="標楷體" w:hAnsi="標楷體" w:cs="標楷體"/>
      <w:kern w:val="0"/>
      <w:lang w:bidi="ar-SA"/>
    </w:rPr>
  </w:style>
  <w:style w:type="paragraph" w:customStyle="1" w:styleId="TableParagraph">
    <w:name w:val="Table Paragraph"/>
    <w:basedOn w:val="a"/>
    <w:uiPriority w:val="1"/>
    <w:qFormat/>
    <w:rsid w:val="00DE295F"/>
    <w:pPr>
      <w:suppressAutoHyphens w:val="0"/>
      <w:autoSpaceDE w:val="0"/>
      <w:textAlignment w:val="auto"/>
    </w:pPr>
    <w:rPr>
      <w:rFonts w:ascii="標楷體" w:eastAsia="標楷體" w:hAnsi="標楷體" w:cs="標楷體"/>
      <w:kern w:val="0"/>
      <w:sz w:val="22"/>
      <w:szCs w:val="22"/>
      <w:lang w:bidi="ar-SA"/>
    </w:rPr>
  </w:style>
  <w:style w:type="paragraph" w:customStyle="1" w:styleId="Textbodyuser">
    <w:name w:val="Text body (user)"/>
    <w:rsid w:val="00736FD8"/>
    <w:pPr>
      <w:widowControl/>
      <w:suppressAutoHyphens/>
    </w:pPr>
    <w:rPr>
      <w:rFonts w:ascii="Times New Roman" w:eastAsia="新細明體, PMingLiU" w:hAnsi="Times New Roman" w:cs="Times New Roman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Calibri" w:eastAsia="新細明體, PMingLiU" w:hAnsi="Calibri" w:cs="Times New Roman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Cambria" w:hAnsi="Cambria"/>
      <w:sz w:val="18"/>
      <w:szCs w:val="18"/>
    </w:rPr>
  </w:style>
  <w:style w:type="paragraph" w:styleId="a6">
    <w:name w:val="List Paragraph"/>
    <w:basedOn w:val="Standard"/>
    <w:pPr>
      <w:ind w:left="480"/>
    </w:pPr>
  </w:style>
  <w:style w:type="paragraph" w:styleId="a7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Standard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標楷體" w:hAnsi="Times New Roman" w:cs="Times New Roman"/>
      <w:sz w:val="32"/>
      <w:szCs w:val="3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標楷體" w:hAnsi="Times New Roman" w:cs="Times New Roman"/>
      <w:sz w:val="32"/>
      <w:szCs w:val="32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eastAsia="標楷體" w:hAnsi="Times New Roman" w:cs="Times New Roman"/>
      <w:sz w:val="32"/>
      <w:szCs w:val="32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a9">
    <w:name w:val="註解方塊文字 字元"/>
    <w:rPr>
      <w:rFonts w:ascii="Cambria" w:eastAsia="新細明體, PMingLiU" w:hAnsi="Cambria" w:cs="Times New Roman"/>
      <w:sz w:val="18"/>
      <w:szCs w:val="18"/>
    </w:rPr>
  </w:style>
  <w:style w:type="character" w:customStyle="1" w:styleId="aa">
    <w:name w:val="頁首 字元"/>
    <w:rPr>
      <w:kern w:val="3"/>
    </w:rPr>
  </w:style>
  <w:style w:type="character" w:customStyle="1" w:styleId="ab">
    <w:name w:val="頁尾 字元"/>
    <w:uiPriority w:val="99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table" w:customStyle="1" w:styleId="TableNormal">
    <w:name w:val="Table Normal"/>
    <w:uiPriority w:val="2"/>
    <w:semiHidden/>
    <w:unhideWhenUsed/>
    <w:qFormat/>
    <w:rsid w:val="00DE295F"/>
    <w:pPr>
      <w:autoSpaceDE w:val="0"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DE295F"/>
    <w:pPr>
      <w:suppressAutoHyphens w:val="0"/>
      <w:autoSpaceDE w:val="0"/>
      <w:textAlignment w:val="auto"/>
    </w:pPr>
    <w:rPr>
      <w:rFonts w:ascii="標楷體" w:eastAsia="標楷體" w:hAnsi="標楷體" w:cs="標楷體"/>
      <w:kern w:val="0"/>
      <w:lang w:bidi="ar-SA"/>
    </w:rPr>
  </w:style>
  <w:style w:type="character" w:customStyle="1" w:styleId="ad">
    <w:name w:val="本文 字元"/>
    <w:basedOn w:val="a0"/>
    <w:link w:val="ac"/>
    <w:uiPriority w:val="1"/>
    <w:rsid w:val="00DE295F"/>
    <w:rPr>
      <w:rFonts w:ascii="標楷體" w:eastAsia="標楷體" w:hAnsi="標楷體" w:cs="標楷體"/>
      <w:kern w:val="0"/>
      <w:lang w:bidi="ar-SA"/>
    </w:rPr>
  </w:style>
  <w:style w:type="paragraph" w:customStyle="1" w:styleId="TableParagraph">
    <w:name w:val="Table Paragraph"/>
    <w:basedOn w:val="a"/>
    <w:uiPriority w:val="1"/>
    <w:qFormat/>
    <w:rsid w:val="00DE295F"/>
    <w:pPr>
      <w:suppressAutoHyphens w:val="0"/>
      <w:autoSpaceDE w:val="0"/>
      <w:textAlignment w:val="auto"/>
    </w:pPr>
    <w:rPr>
      <w:rFonts w:ascii="標楷體" w:eastAsia="標楷體" w:hAnsi="標楷體" w:cs="標楷體"/>
      <w:kern w:val="0"/>
      <w:sz w:val="22"/>
      <w:szCs w:val="22"/>
      <w:lang w:bidi="ar-SA"/>
    </w:rPr>
  </w:style>
  <w:style w:type="paragraph" w:customStyle="1" w:styleId="Textbodyuser">
    <w:name w:val="Text body (user)"/>
    <w:rsid w:val="00736FD8"/>
    <w:pPr>
      <w:widowControl/>
      <w:suppressAutoHyphens/>
    </w:pPr>
    <w:rPr>
      <w:rFonts w:ascii="Times New Roman" w:eastAsia="新細明體, PMingLiU" w:hAnsi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3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C8A64-377E-4588-99C5-C62CF0649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</Words>
  <Characters>865</Characters>
  <Application>Microsoft Office Word</Application>
  <DocSecurity>0</DocSecurity>
  <Lines>7</Lines>
  <Paragraphs>2</Paragraphs>
  <ScaleCrop>false</ScaleCrop>
  <Company>MOEABOE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朱正男</dc:creator>
  <cp:lastModifiedBy>許時華</cp:lastModifiedBy>
  <cp:revision>3</cp:revision>
  <cp:lastPrinted>2022-07-26T05:50:00Z</cp:lastPrinted>
  <dcterms:created xsi:type="dcterms:W3CDTF">2022-07-26T05:50:00Z</dcterms:created>
  <dcterms:modified xsi:type="dcterms:W3CDTF">2022-07-26T05:50:00Z</dcterms:modified>
</cp:coreProperties>
</file>