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10" w:rsidRPr="00835668" w:rsidRDefault="00556F10" w:rsidP="00556F10">
      <w:pPr>
        <w:widowControl/>
        <w:sectPr w:rsidR="00556F10" w:rsidRPr="00835668" w:rsidSect="00711313">
          <w:footerReference w:type="default" r:id="rId6"/>
          <w:pgSz w:w="11906" w:h="16838"/>
          <w:pgMar w:top="1134" w:right="1134" w:bottom="1134" w:left="1134" w:header="851" w:footer="992" w:gutter="0"/>
          <w:cols w:space="425"/>
          <w:docGrid w:type="linesAndChars" w:linePitch="360"/>
        </w:sectPr>
      </w:pPr>
      <w:bookmarkStart w:id="0" w:name="_Toc341363073"/>
      <w:r w:rsidRPr="00835668">
        <w:rPr>
          <w:rFonts w:eastAsia="標楷體"/>
          <w:sz w:val="40"/>
          <w:szCs w:val="40"/>
        </w:rPr>
        <w:br w:type="page"/>
      </w:r>
      <w:r w:rsidRPr="00835668">
        <w:rPr>
          <w:b/>
          <w:noProof/>
          <w:sz w:val="36"/>
          <w:szCs w:val="36"/>
        </w:rPr>
        <mc:AlternateContent>
          <mc:Choice Requires="wps">
            <w:drawing>
              <wp:anchor distT="0" distB="0" distL="114300" distR="114300" simplePos="0" relativeHeight="251659264" behindDoc="0" locked="0" layoutInCell="1" allowOverlap="1" wp14:anchorId="4E494502" wp14:editId="6BE947F9">
                <wp:simplePos x="0" y="0"/>
                <wp:positionH relativeFrom="margin">
                  <wp:align>center</wp:align>
                </wp:positionH>
                <wp:positionV relativeFrom="margin">
                  <wp:align>center</wp:align>
                </wp:positionV>
                <wp:extent cx="5975350" cy="1806575"/>
                <wp:effectExtent l="0" t="0" r="6350" b="3175"/>
                <wp:wrapSquare wrapText="bothSides"/>
                <wp:docPr id="680" name="圓角矩形 680"/>
                <wp:cNvGraphicFramePr/>
                <a:graphic xmlns:a="http://schemas.openxmlformats.org/drawingml/2006/main">
                  <a:graphicData uri="http://schemas.microsoft.com/office/word/2010/wordprocessingShape">
                    <wps:wsp>
                      <wps:cNvSpPr/>
                      <wps:spPr>
                        <a:xfrm>
                          <a:off x="0" y="0"/>
                          <a:ext cx="5975350" cy="18065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6F10" w:rsidRPr="00F92CC3" w:rsidRDefault="00556F10" w:rsidP="00556F10">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七、公用天然氣事業添加非子法所列嗅劑種類之核准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680" o:spid="_x0000_s1026" style="position:absolute;margin-left:0;margin-top:0;width:470.5pt;height:14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" fillcolor="#4f81bd [3204]" stroked="f" strokeweight="2pt">
                <v:textbox>
                  <w:txbxContent>
                    <w:p w:rsidR="00556F10" w:rsidRPr="00F92CC3" w:rsidRDefault="00556F10" w:rsidP="00556F10">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七、公用天然氣事業添加非子法所列嗅劑種類之核准</w:t>
                      </w:r>
                    </w:p>
                  </w:txbxContent>
                </v:textbox>
                <w10:wrap type="square" anchorx="margin" anchory="margin"/>
              </v:roundrect>
            </w:pict>
          </mc:Fallback>
        </mc:AlternateContent>
      </w:r>
    </w:p>
    <w:p w:rsidR="00556F10" w:rsidRPr="00835668" w:rsidRDefault="00556F10" w:rsidP="00556F10">
      <w:pPr>
        <w:pStyle w:val="16"/>
        <w:rPr>
          <w:u w:val="none"/>
        </w:rPr>
      </w:pPr>
      <w:bookmarkStart w:id="1" w:name="_Toc500756573"/>
      <w:r w:rsidRPr="00835668">
        <w:rPr>
          <w:rFonts w:hint="eastAsia"/>
          <w:u w:val="none"/>
        </w:rPr>
        <w:lastRenderedPageBreak/>
        <w:t>「公用天然氣事業添加非子法所列嗅劑種類」核准之審查作業程序</w:t>
      </w:r>
      <w:bookmarkEnd w:id="1"/>
    </w:p>
    <w:p w:rsidR="00556F10" w:rsidRPr="00835668" w:rsidRDefault="00556F10" w:rsidP="00556F10">
      <w:pPr>
        <w:pStyle w:val="16"/>
        <w:spacing w:beforeLines="50" w:before="180"/>
        <w:rPr>
          <w:sz w:val="28"/>
          <w:szCs w:val="28"/>
          <w:u w:val="none"/>
        </w:rPr>
      </w:pPr>
      <w:bookmarkStart w:id="2" w:name="_Toc500756574"/>
      <w:r w:rsidRPr="00835668">
        <w:rPr>
          <w:rFonts w:hint="eastAsia"/>
          <w:sz w:val="28"/>
          <w:szCs w:val="28"/>
          <w:u w:val="none"/>
        </w:rPr>
        <w:t>（一）法源依據：</w:t>
      </w:r>
      <w:bookmarkEnd w:id="2"/>
    </w:p>
    <w:p w:rsidR="00556F10" w:rsidRPr="00835668" w:rsidRDefault="00556F10" w:rsidP="00556F10">
      <w:pPr>
        <w:pStyle w:val="16"/>
        <w:spacing w:beforeLines="50" w:before="180"/>
        <w:rPr>
          <w:b w:val="0"/>
          <w:sz w:val="28"/>
          <w:szCs w:val="28"/>
          <w:u w:val="none"/>
        </w:rPr>
      </w:pPr>
      <w:bookmarkStart w:id="3" w:name="_Toc500756575"/>
      <w:r w:rsidRPr="00835668">
        <w:rPr>
          <w:rFonts w:hint="eastAsia"/>
          <w:b w:val="0"/>
          <w:sz w:val="28"/>
          <w:szCs w:val="28"/>
          <w:u w:val="none"/>
        </w:rPr>
        <w:t>「公用天然氣事業供應之天然氣所添加嗅劑種類與濃度及提報主管機關備查之格式與期限」第四點：</w:t>
      </w:r>
      <w:bookmarkEnd w:id="3"/>
    </w:p>
    <w:p w:rsidR="00556F10" w:rsidRPr="00835668" w:rsidRDefault="00556F10" w:rsidP="00556F10">
      <w:pPr>
        <w:pStyle w:val="16"/>
        <w:spacing w:beforeLines="50" w:before="180"/>
        <w:rPr>
          <w:b w:val="0"/>
          <w:sz w:val="28"/>
          <w:szCs w:val="28"/>
          <w:u w:val="none"/>
        </w:rPr>
      </w:pPr>
      <w:bookmarkStart w:id="4" w:name="_Toc500756576"/>
      <w:r w:rsidRPr="00835668">
        <w:rPr>
          <w:rFonts w:hint="eastAsia"/>
          <w:b w:val="0"/>
          <w:sz w:val="28"/>
          <w:szCs w:val="28"/>
          <w:u w:val="none"/>
        </w:rPr>
        <w:t>公用天然氣事業添加附表一以外之其他種類嗅劑前，應檢具嗅劑種類、成分比率及添加濃度，報中央主管機關核准。</w:t>
      </w:r>
      <w:bookmarkEnd w:id="4"/>
    </w:p>
    <w:p w:rsidR="00556F10" w:rsidRPr="00835668" w:rsidRDefault="00556F10" w:rsidP="00556F10">
      <w:pPr>
        <w:pStyle w:val="16"/>
        <w:spacing w:beforeLines="50" w:before="180" w:afterLines="50" w:after="180"/>
        <w:rPr>
          <w:sz w:val="28"/>
          <w:szCs w:val="28"/>
          <w:u w:val="none"/>
        </w:rPr>
      </w:pPr>
      <w:bookmarkStart w:id="5" w:name="_Toc500756577"/>
      <w:r w:rsidRPr="00835668">
        <w:rPr>
          <w:rFonts w:hint="eastAsia"/>
          <w:sz w:val="28"/>
          <w:szCs w:val="28"/>
          <w:u w:val="none"/>
        </w:rPr>
        <w:t>（二）審查方式：</w:t>
      </w:r>
      <w:bookmarkEnd w:id="5"/>
    </w:p>
    <w:tbl>
      <w:tblPr>
        <w:tblW w:w="9073"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7005"/>
      </w:tblGrid>
      <w:tr w:rsidR="00556F10" w:rsidRPr="00835668" w:rsidTr="00147E36">
        <w:trPr>
          <w:trHeight w:val="1131"/>
        </w:trPr>
        <w:tc>
          <w:tcPr>
            <w:tcW w:w="2068" w:type="dxa"/>
            <w:vAlign w:val="center"/>
          </w:tcPr>
          <w:p w:rsidR="00556F10" w:rsidRPr="00835668" w:rsidRDefault="00556F10" w:rsidP="00147E36">
            <w:pPr>
              <w:pStyle w:val="a3"/>
              <w:numPr>
                <w:ilvl w:val="0"/>
                <w:numId w:val="1"/>
              </w:numPr>
              <w:tabs>
                <w:tab w:val="left" w:pos="900"/>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程序</w:t>
            </w:r>
          </w:p>
        </w:tc>
        <w:tc>
          <w:tcPr>
            <w:tcW w:w="7005" w:type="dxa"/>
            <w:vAlign w:val="center"/>
          </w:tcPr>
          <w:p w:rsidR="00556F10" w:rsidRPr="00835668" w:rsidRDefault="00556F10" w:rsidP="00147E36">
            <w:pPr>
              <w:tabs>
                <w:tab w:val="left" w:pos="459"/>
              </w:tabs>
              <w:spacing w:beforeLines="30" w:before="108" w:afterLines="30" w:after="108" w:line="360" w:lineRule="exact"/>
              <w:jc w:val="both"/>
              <w:rPr>
                <w:rFonts w:eastAsia="標楷體"/>
                <w:sz w:val="28"/>
                <w:szCs w:val="28"/>
              </w:rPr>
            </w:pPr>
            <w:r w:rsidRPr="00835668">
              <w:rPr>
                <w:rFonts w:eastAsia="標楷體" w:hint="eastAsia"/>
                <w:sz w:val="28"/>
                <w:szCs w:val="28"/>
              </w:rPr>
              <w:t>能源局應邀請化學或工安領域之專家進行審查。</w:t>
            </w:r>
          </w:p>
        </w:tc>
      </w:tr>
      <w:tr w:rsidR="00556F10" w:rsidRPr="00835668" w:rsidTr="00147E36">
        <w:trPr>
          <w:trHeight w:val="1148"/>
        </w:trPr>
        <w:tc>
          <w:tcPr>
            <w:tcW w:w="2068" w:type="dxa"/>
            <w:vAlign w:val="center"/>
          </w:tcPr>
          <w:p w:rsidR="00556F10" w:rsidRPr="00835668" w:rsidRDefault="00556F10" w:rsidP="00147E36">
            <w:pPr>
              <w:pStyle w:val="a3"/>
              <w:numPr>
                <w:ilvl w:val="0"/>
                <w:numId w:val="1"/>
              </w:numPr>
              <w:tabs>
                <w:tab w:val="left" w:pos="900"/>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內容與項目</w:t>
            </w:r>
          </w:p>
        </w:tc>
        <w:tc>
          <w:tcPr>
            <w:tcW w:w="7005" w:type="dxa"/>
            <w:vAlign w:val="center"/>
          </w:tcPr>
          <w:p w:rsidR="00556F10" w:rsidRPr="00835668" w:rsidRDefault="00556F10" w:rsidP="00147E36">
            <w:pPr>
              <w:pStyle w:val="a3"/>
              <w:numPr>
                <w:ilvl w:val="0"/>
                <w:numId w:val="3"/>
              </w:numPr>
              <w:tabs>
                <w:tab w:val="left" w:pos="459"/>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文件：</w:t>
            </w:r>
          </w:p>
          <w:p w:rsidR="00556F10" w:rsidRPr="00835668" w:rsidRDefault="00556F10" w:rsidP="00147E36">
            <w:pPr>
              <w:pStyle w:val="a3"/>
              <w:numPr>
                <w:ilvl w:val="0"/>
                <w:numId w:val="6"/>
              </w:numPr>
              <w:tabs>
                <w:tab w:val="left" w:pos="459"/>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嗅劑種類、成分比率及添加濃度。</w:t>
            </w:r>
          </w:p>
          <w:p w:rsidR="00556F10" w:rsidRPr="00835668" w:rsidRDefault="00556F10" w:rsidP="00147E36">
            <w:pPr>
              <w:pStyle w:val="a3"/>
              <w:numPr>
                <w:ilvl w:val="0"/>
                <w:numId w:val="6"/>
              </w:numPr>
              <w:tabs>
                <w:tab w:val="left" w:pos="459"/>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是否具同等或更佳效果之相關證明文件（例如具公信力之機構所製作之測試報告）。</w:t>
            </w:r>
          </w:p>
          <w:p w:rsidR="00556F10" w:rsidRPr="00835668" w:rsidRDefault="00556F10" w:rsidP="00147E36">
            <w:pPr>
              <w:pStyle w:val="a3"/>
              <w:numPr>
                <w:ilvl w:val="0"/>
                <w:numId w:val="3"/>
              </w:numPr>
              <w:tabs>
                <w:tab w:val="left" w:pos="459"/>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就上述之證明文件進行審查，所添加之嗅劑是否具同等或更佳效果。</w:t>
            </w:r>
          </w:p>
        </w:tc>
      </w:tr>
    </w:tbl>
    <w:p w:rsidR="00556F10" w:rsidRPr="00835668" w:rsidRDefault="00556F10" w:rsidP="00556F10">
      <w:pPr>
        <w:pStyle w:val="16"/>
        <w:spacing w:beforeLines="30" w:before="108" w:afterLines="30" w:after="108"/>
        <w:rPr>
          <w:sz w:val="28"/>
          <w:szCs w:val="28"/>
          <w:u w:val="none"/>
        </w:rPr>
      </w:pPr>
      <w:bookmarkStart w:id="6" w:name="_Toc500756578"/>
      <w:r w:rsidRPr="00835668">
        <w:rPr>
          <w:rFonts w:hint="eastAsia"/>
          <w:sz w:val="28"/>
          <w:szCs w:val="28"/>
          <w:u w:val="none"/>
        </w:rPr>
        <w:t>（三）處分態樣：</w:t>
      </w:r>
      <w:bookmarkEnd w:id="6"/>
    </w:p>
    <w:tbl>
      <w:tblPr>
        <w:tblW w:w="9073"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7005"/>
      </w:tblGrid>
      <w:tr w:rsidR="00556F10" w:rsidRPr="00835668" w:rsidTr="00147E36">
        <w:trPr>
          <w:trHeight w:val="1316"/>
        </w:trPr>
        <w:tc>
          <w:tcPr>
            <w:tcW w:w="2068" w:type="dxa"/>
            <w:vAlign w:val="center"/>
          </w:tcPr>
          <w:p w:rsidR="00556F10" w:rsidRPr="00835668" w:rsidRDefault="00556F10" w:rsidP="00147E36">
            <w:pPr>
              <w:pStyle w:val="a3"/>
              <w:numPr>
                <w:ilvl w:val="0"/>
                <w:numId w:val="2"/>
              </w:numPr>
              <w:tabs>
                <w:tab w:val="left" w:pos="900"/>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檢還補正</w:t>
            </w:r>
          </w:p>
        </w:tc>
        <w:tc>
          <w:tcPr>
            <w:tcW w:w="7005" w:type="dxa"/>
            <w:vAlign w:val="center"/>
          </w:tcPr>
          <w:p w:rsidR="00556F10" w:rsidRPr="00835668" w:rsidRDefault="00556F10" w:rsidP="00147E36">
            <w:pPr>
              <w:spacing w:beforeLines="30" w:before="108" w:afterLines="30" w:after="108" w:line="360" w:lineRule="exact"/>
              <w:ind w:left="1"/>
              <w:jc w:val="both"/>
              <w:rPr>
                <w:rFonts w:eastAsia="標楷體"/>
                <w:sz w:val="28"/>
                <w:szCs w:val="28"/>
              </w:rPr>
            </w:pPr>
            <w:r w:rsidRPr="00835668">
              <w:rPr>
                <w:rFonts w:eastAsia="標楷體" w:hint="eastAsia"/>
                <w:sz w:val="28"/>
                <w:szCs w:val="28"/>
              </w:rPr>
              <w:t>下列情形，應命事業限期於能源局發文日起二十一日內補正：</w:t>
            </w:r>
          </w:p>
          <w:p w:rsidR="00556F10" w:rsidRPr="00835668" w:rsidRDefault="00556F10" w:rsidP="00147E36">
            <w:pPr>
              <w:pStyle w:val="a3"/>
              <w:numPr>
                <w:ilvl w:val="0"/>
                <w:numId w:val="5"/>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所提報之嗅劑種類、成分比率、濃度與證明文件有欠缺者。</w:t>
            </w:r>
          </w:p>
          <w:p w:rsidR="00556F10" w:rsidRPr="00835668" w:rsidRDefault="00556F10" w:rsidP="00147E36">
            <w:pPr>
              <w:pStyle w:val="a3"/>
              <w:numPr>
                <w:ilvl w:val="0"/>
                <w:numId w:val="5"/>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所添加之嗅劑效果需要事業進一步說明者。</w:t>
            </w:r>
          </w:p>
        </w:tc>
      </w:tr>
      <w:tr w:rsidR="00556F10" w:rsidRPr="00835668" w:rsidTr="00147E36">
        <w:trPr>
          <w:trHeight w:val="1447"/>
        </w:trPr>
        <w:tc>
          <w:tcPr>
            <w:tcW w:w="2068" w:type="dxa"/>
            <w:vAlign w:val="center"/>
          </w:tcPr>
          <w:p w:rsidR="00556F10" w:rsidRPr="00835668" w:rsidRDefault="00556F10" w:rsidP="00147E36">
            <w:pPr>
              <w:pStyle w:val="a3"/>
              <w:numPr>
                <w:ilvl w:val="0"/>
                <w:numId w:val="2"/>
              </w:numPr>
              <w:tabs>
                <w:tab w:val="left" w:pos="900"/>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否准實施</w:t>
            </w:r>
          </w:p>
        </w:tc>
        <w:tc>
          <w:tcPr>
            <w:tcW w:w="7005" w:type="dxa"/>
            <w:vAlign w:val="center"/>
          </w:tcPr>
          <w:p w:rsidR="00556F10" w:rsidRPr="00835668" w:rsidRDefault="00556F10" w:rsidP="00147E36">
            <w:pPr>
              <w:spacing w:beforeLines="30" w:before="108" w:afterLines="30" w:after="108" w:line="360" w:lineRule="exact"/>
              <w:jc w:val="both"/>
              <w:rPr>
                <w:rFonts w:eastAsia="標楷體"/>
                <w:sz w:val="28"/>
                <w:szCs w:val="28"/>
              </w:rPr>
            </w:pPr>
            <w:r w:rsidRPr="00835668">
              <w:rPr>
                <w:rFonts w:eastAsia="標楷體" w:hint="eastAsia"/>
                <w:sz w:val="28"/>
                <w:szCs w:val="28"/>
              </w:rPr>
              <w:t>下列情形，應予以否准：</w:t>
            </w:r>
          </w:p>
          <w:p w:rsidR="00556F10" w:rsidRPr="00835668" w:rsidRDefault="00556F10" w:rsidP="00147E36">
            <w:pPr>
              <w:pStyle w:val="a3"/>
              <w:numPr>
                <w:ilvl w:val="0"/>
                <w:numId w:val="4"/>
              </w:numPr>
              <w:tabs>
                <w:tab w:val="left" w:pos="459"/>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所添加之其他種類嗅劑未至少具同等效果者。</w:t>
            </w:r>
          </w:p>
          <w:p w:rsidR="00556F10" w:rsidRPr="00835668" w:rsidRDefault="00556F10" w:rsidP="00147E36">
            <w:pPr>
              <w:pStyle w:val="a3"/>
              <w:numPr>
                <w:ilvl w:val="0"/>
                <w:numId w:val="4"/>
              </w:numPr>
              <w:tabs>
                <w:tab w:val="left" w:pos="459"/>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事業經能源局要求限期補正，惟未於期限內完成補正者。</w:t>
            </w:r>
          </w:p>
        </w:tc>
      </w:tr>
      <w:tr w:rsidR="00556F10" w:rsidRPr="00835668" w:rsidTr="00147E36">
        <w:trPr>
          <w:trHeight w:val="841"/>
        </w:trPr>
        <w:tc>
          <w:tcPr>
            <w:tcW w:w="2068" w:type="dxa"/>
            <w:vAlign w:val="center"/>
          </w:tcPr>
          <w:p w:rsidR="00556F10" w:rsidRPr="00835668" w:rsidRDefault="00556F10" w:rsidP="00147E36">
            <w:pPr>
              <w:pStyle w:val="a3"/>
              <w:numPr>
                <w:ilvl w:val="0"/>
                <w:numId w:val="2"/>
              </w:numPr>
              <w:tabs>
                <w:tab w:val="left" w:pos="900"/>
              </w:tabs>
              <w:spacing w:beforeLines="30" w:before="108" w:afterLines="30" w:after="108" w:line="360" w:lineRule="exact"/>
              <w:ind w:leftChars="0"/>
              <w:jc w:val="both"/>
              <w:rPr>
                <w:rFonts w:eastAsia="標楷體"/>
                <w:sz w:val="28"/>
                <w:szCs w:val="28"/>
              </w:rPr>
            </w:pPr>
            <w:r w:rsidRPr="00835668">
              <w:rPr>
                <w:rFonts w:eastAsia="標楷體" w:hint="eastAsia"/>
                <w:sz w:val="28"/>
                <w:szCs w:val="28"/>
              </w:rPr>
              <w:t>核定實施</w:t>
            </w:r>
          </w:p>
        </w:tc>
        <w:tc>
          <w:tcPr>
            <w:tcW w:w="7005" w:type="dxa"/>
            <w:vAlign w:val="center"/>
          </w:tcPr>
          <w:p w:rsidR="00556F10" w:rsidRPr="00835668" w:rsidRDefault="00556F10" w:rsidP="00147E36">
            <w:pPr>
              <w:spacing w:beforeLines="30" w:before="108" w:afterLines="30" w:after="108" w:line="360" w:lineRule="exact"/>
              <w:jc w:val="both"/>
              <w:rPr>
                <w:rFonts w:eastAsia="標楷體"/>
                <w:sz w:val="28"/>
                <w:szCs w:val="28"/>
              </w:rPr>
            </w:pPr>
            <w:r w:rsidRPr="00835668">
              <w:rPr>
                <w:rFonts w:eastAsia="標楷體" w:hint="eastAsia"/>
                <w:sz w:val="28"/>
                <w:szCs w:val="28"/>
              </w:rPr>
              <w:t>所添加之嗅劑具同等或更佳效果者，核定實施。</w:t>
            </w:r>
          </w:p>
        </w:tc>
      </w:tr>
    </w:tbl>
    <w:bookmarkEnd w:id="0"/>
    <w:p w:rsidR="00556F10" w:rsidRPr="00835668" w:rsidRDefault="00556F10" w:rsidP="00556F10">
      <w:pPr>
        <w:widowControl/>
        <w:jc w:val="center"/>
        <w:rPr>
          <w:rFonts w:eastAsia="標楷體"/>
          <w:b/>
          <w:bCs/>
          <w:sz w:val="36"/>
          <w:szCs w:val="36"/>
        </w:rPr>
      </w:pPr>
      <w:r w:rsidRPr="00835668">
        <w:rPr>
          <w:rFonts w:eastAsia="標楷體" w:hint="eastAsia"/>
          <w:b/>
          <w:bCs/>
          <w:sz w:val="36"/>
          <w:szCs w:val="36"/>
          <w:u w:val="single"/>
        </w:rPr>
        <w:lastRenderedPageBreak/>
        <w:t xml:space="preserve">　　　　　　　　　　　</w:t>
      </w:r>
      <w:r w:rsidRPr="00835668">
        <w:rPr>
          <w:rFonts w:eastAsia="標楷體" w:hint="eastAsia"/>
          <w:b/>
          <w:bCs/>
          <w:sz w:val="36"/>
          <w:szCs w:val="36"/>
        </w:rPr>
        <w:t>股份有限公司</w:t>
      </w:r>
    </w:p>
    <w:p w:rsidR="00556F10" w:rsidRPr="00835668" w:rsidRDefault="00556F10" w:rsidP="00556F10">
      <w:pPr>
        <w:widowControl/>
        <w:spacing w:afterLines="100" w:after="360"/>
        <w:jc w:val="center"/>
        <w:rPr>
          <w:sz w:val="28"/>
          <w:szCs w:val="28"/>
        </w:rPr>
      </w:pPr>
      <w:r w:rsidRPr="00835668">
        <w:rPr>
          <w:rFonts w:eastAsia="標楷體" w:hint="eastAsia"/>
          <w:b/>
          <w:bCs/>
          <w:sz w:val="36"/>
          <w:szCs w:val="36"/>
        </w:rPr>
        <w:t>申請添加非附表一內嗅劑之種類濃度之審查表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1554"/>
        <w:gridCol w:w="1137"/>
        <w:gridCol w:w="997"/>
        <w:gridCol w:w="1149"/>
        <w:gridCol w:w="2645"/>
      </w:tblGrid>
      <w:tr w:rsidR="00556F10" w:rsidRPr="00835668" w:rsidTr="00147E36">
        <w:trPr>
          <w:trHeight w:val="1356"/>
        </w:trPr>
        <w:tc>
          <w:tcPr>
            <w:tcW w:w="3654" w:type="dxa"/>
            <w:gridSpan w:val="2"/>
            <w:tcBorders>
              <w:top w:val="thinThickSmallGap" w:sz="24" w:space="0" w:color="auto"/>
              <w:left w:val="thinThickSmallGap" w:sz="24" w:space="0" w:color="auto"/>
              <w:bottom w:val="double" w:sz="4" w:space="0" w:color="auto"/>
            </w:tcBorders>
            <w:vAlign w:val="center"/>
          </w:tcPr>
          <w:p w:rsidR="00556F10" w:rsidRPr="00835668" w:rsidRDefault="00556F10" w:rsidP="00147E36">
            <w:pPr>
              <w:widowControl/>
              <w:jc w:val="center"/>
              <w:rPr>
                <w:rFonts w:eastAsia="標楷體"/>
                <w:b/>
                <w:sz w:val="28"/>
                <w:szCs w:val="28"/>
              </w:rPr>
            </w:pPr>
            <w:r w:rsidRPr="00835668">
              <w:rPr>
                <w:rFonts w:eastAsia="標楷體" w:hint="eastAsia"/>
                <w:b/>
                <w:sz w:val="28"/>
                <w:szCs w:val="28"/>
              </w:rPr>
              <w:t>嗅劑種類</w:t>
            </w:r>
          </w:p>
        </w:tc>
        <w:tc>
          <w:tcPr>
            <w:tcW w:w="2134" w:type="dxa"/>
            <w:gridSpan w:val="2"/>
            <w:tcBorders>
              <w:top w:val="thinThickSmallGap" w:sz="24" w:space="0" w:color="auto"/>
              <w:bottom w:val="double" w:sz="4" w:space="0" w:color="auto"/>
            </w:tcBorders>
            <w:vAlign w:val="center"/>
          </w:tcPr>
          <w:p w:rsidR="00556F10" w:rsidRPr="00835668" w:rsidRDefault="00556F10" w:rsidP="00147E36">
            <w:pPr>
              <w:widowControl/>
              <w:jc w:val="center"/>
              <w:rPr>
                <w:rFonts w:eastAsia="標楷體"/>
                <w:b/>
                <w:sz w:val="28"/>
                <w:szCs w:val="28"/>
              </w:rPr>
            </w:pPr>
            <w:r w:rsidRPr="00835668">
              <w:rPr>
                <w:rFonts w:eastAsia="標楷體" w:hint="eastAsia"/>
                <w:b/>
                <w:sz w:val="28"/>
                <w:szCs w:val="28"/>
              </w:rPr>
              <w:t>濃度（毫克／立方公尺）</w:t>
            </w:r>
          </w:p>
        </w:tc>
        <w:tc>
          <w:tcPr>
            <w:tcW w:w="3794" w:type="dxa"/>
            <w:gridSpan w:val="2"/>
            <w:tcBorders>
              <w:top w:val="thinThickSmallGap" w:sz="24" w:space="0" w:color="auto"/>
              <w:bottom w:val="double" w:sz="4" w:space="0" w:color="auto"/>
              <w:right w:val="thickThinSmallGap" w:sz="24" w:space="0" w:color="auto"/>
            </w:tcBorders>
            <w:vAlign w:val="center"/>
          </w:tcPr>
          <w:p w:rsidR="00556F10" w:rsidRPr="00835668" w:rsidRDefault="00556F10" w:rsidP="00147E36">
            <w:pPr>
              <w:widowControl/>
              <w:jc w:val="center"/>
              <w:rPr>
                <w:rFonts w:eastAsia="標楷體"/>
                <w:b/>
                <w:sz w:val="28"/>
                <w:szCs w:val="28"/>
              </w:rPr>
            </w:pPr>
            <w:r w:rsidRPr="00835668">
              <w:rPr>
                <w:rFonts w:eastAsia="標楷體" w:hint="eastAsia"/>
                <w:b/>
                <w:sz w:val="28"/>
                <w:szCs w:val="28"/>
              </w:rPr>
              <w:t>審查意見</w:t>
            </w:r>
          </w:p>
        </w:tc>
      </w:tr>
      <w:tr w:rsidR="00556F10" w:rsidRPr="00835668" w:rsidTr="00147E36">
        <w:trPr>
          <w:trHeight w:val="2081"/>
        </w:trPr>
        <w:tc>
          <w:tcPr>
            <w:tcW w:w="3654" w:type="dxa"/>
            <w:gridSpan w:val="2"/>
            <w:tcBorders>
              <w:top w:val="double" w:sz="4" w:space="0" w:color="auto"/>
              <w:left w:val="thinThickSmallGap" w:sz="24" w:space="0" w:color="auto"/>
            </w:tcBorders>
            <w:vAlign w:val="center"/>
          </w:tcPr>
          <w:p w:rsidR="00556F10" w:rsidRPr="00835668" w:rsidRDefault="00556F10" w:rsidP="00147E36">
            <w:pPr>
              <w:widowControl/>
              <w:jc w:val="center"/>
              <w:rPr>
                <w:rFonts w:eastAsia="標楷體"/>
                <w:sz w:val="28"/>
                <w:szCs w:val="28"/>
              </w:rPr>
            </w:pPr>
          </w:p>
        </w:tc>
        <w:tc>
          <w:tcPr>
            <w:tcW w:w="2134" w:type="dxa"/>
            <w:gridSpan w:val="2"/>
            <w:tcBorders>
              <w:top w:val="double" w:sz="4" w:space="0" w:color="auto"/>
            </w:tcBorders>
            <w:vAlign w:val="center"/>
          </w:tcPr>
          <w:p w:rsidR="00556F10" w:rsidRPr="00835668" w:rsidRDefault="00556F10" w:rsidP="00147E36">
            <w:pPr>
              <w:widowControl/>
              <w:jc w:val="center"/>
              <w:rPr>
                <w:rFonts w:eastAsia="標楷體"/>
                <w:sz w:val="28"/>
                <w:szCs w:val="28"/>
              </w:rPr>
            </w:pPr>
          </w:p>
        </w:tc>
        <w:tc>
          <w:tcPr>
            <w:tcW w:w="3794" w:type="dxa"/>
            <w:gridSpan w:val="2"/>
            <w:tcBorders>
              <w:top w:val="double" w:sz="4" w:space="0" w:color="auto"/>
              <w:right w:val="thickThinSmallGap" w:sz="24" w:space="0" w:color="auto"/>
            </w:tcBorders>
            <w:vAlign w:val="center"/>
          </w:tcPr>
          <w:p w:rsidR="00556F10" w:rsidRPr="00835668" w:rsidRDefault="00556F10" w:rsidP="00147E36">
            <w:pPr>
              <w:widowControl/>
              <w:jc w:val="center"/>
              <w:rPr>
                <w:rFonts w:eastAsia="標楷體"/>
                <w:sz w:val="28"/>
                <w:szCs w:val="28"/>
              </w:rPr>
            </w:pPr>
          </w:p>
        </w:tc>
      </w:tr>
      <w:tr w:rsidR="00556F10" w:rsidRPr="00835668" w:rsidTr="00147E36">
        <w:trPr>
          <w:trHeight w:val="2081"/>
        </w:trPr>
        <w:tc>
          <w:tcPr>
            <w:tcW w:w="3654" w:type="dxa"/>
            <w:gridSpan w:val="2"/>
            <w:tcBorders>
              <w:left w:val="thinThickSmallGap" w:sz="24" w:space="0" w:color="auto"/>
            </w:tcBorders>
            <w:vAlign w:val="center"/>
          </w:tcPr>
          <w:p w:rsidR="00556F10" w:rsidRPr="00835668" w:rsidRDefault="00556F10" w:rsidP="00147E36">
            <w:pPr>
              <w:widowControl/>
              <w:jc w:val="center"/>
              <w:rPr>
                <w:rFonts w:eastAsia="標楷體"/>
                <w:sz w:val="28"/>
                <w:szCs w:val="28"/>
              </w:rPr>
            </w:pPr>
          </w:p>
        </w:tc>
        <w:tc>
          <w:tcPr>
            <w:tcW w:w="2134" w:type="dxa"/>
            <w:gridSpan w:val="2"/>
            <w:vAlign w:val="center"/>
          </w:tcPr>
          <w:p w:rsidR="00556F10" w:rsidRPr="00835668" w:rsidRDefault="00556F10" w:rsidP="00147E36">
            <w:pPr>
              <w:widowControl/>
              <w:jc w:val="center"/>
              <w:rPr>
                <w:rFonts w:eastAsia="標楷體"/>
                <w:sz w:val="28"/>
                <w:szCs w:val="28"/>
              </w:rPr>
            </w:pPr>
          </w:p>
        </w:tc>
        <w:tc>
          <w:tcPr>
            <w:tcW w:w="3794" w:type="dxa"/>
            <w:gridSpan w:val="2"/>
            <w:tcBorders>
              <w:right w:val="thickThinSmallGap" w:sz="24" w:space="0" w:color="auto"/>
            </w:tcBorders>
            <w:vAlign w:val="center"/>
          </w:tcPr>
          <w:p w:rsidR="00556F10" w:rsidRPr="00835668" w:rsidRDefault="00556F10" w:rsidP="00147E36">
            <w:pPr>
              <w:widowControl/>
              <w:jc w:val="center"/>
              <w:rPr>
                <w:rFonts w:eastAsia="標楷體"/>
                <w:sz w:val="28"/>
                <w:szCs w:val="28"/>
              </w:rPr>
            </w:pPr>
          </w:p>
        </w:tc>
      </w:tr>
      <w:tr w:rsidR="00556F10" w:rsidRPr="00835668" w:rsidTr="00147E36">
        <w:trPr>
          <w:trHeight w:val="2081"/>
        </w:trPr>
        <w:tc>
          <w:tcPr>
            <w:tcW w:w="3654" w:type="dxa"/>
            <w:gridSpan w:val="2"/>
            <w:tcBorders>
              <w:left w:val="thinThickSmallGap" w:sz="24" w:space="0" w:color="auto"/>
              <w:bottom w:val="double" w:sz="4" w:space="0" w:color="auto"/>
            </w:tcBorders>
            <w:vAlign w:val="center"/>
          </w:tcPr>
          <w:p w:rsidR="00556F10" w:rsidRPr="00835668" w:rsidRDefault="00556F10" w:rsidP="00147E36">
            <w:pPr>
              <w:widowControl/>
              <w:jc w:val="center"/>
              <w:rPr>
                <w:rFonts w:eastAsia="標楷體"/>
                <w:sz w:val="28"/>
                <w:szCs w:val="28"/>
              </w:rPr>
            </w:pPr>
          </w:p>
        </w:tc>
        <w:tc>
          <w:tcPr>
            <w:tcW w:w="2134" w:type="dxa"/>
            <w:gridSpan w:val="2"/>
            <w:tcBorders>
              <w:bottom w:val="double" w:sz="4" w:space="0" w:color="auto"/>
            </w:tcBorders>
            <w:vAlign w:val="center"/>
          </w:tcPr>
          <w:p w:rsidR="00556F10" w:rsidRPr="00835668" w:rsidRDefault="00556F10" w:rsidP="00147E36">
            <w:pPr>
              <w:widowControl/>
              <w:jc w:val="center"/>
              <w:rPr>
                <w:rFonts w:eastAsia="標楷體"/>
                <w:sz w:val="28"/>
                <w:szCs w:val="28"/>
              </w:rPr>
            </w:pPr>
          </w:p>
        </w:tc>
        <w:tc>
          <w:tcPr>
            <w:tcW w:w="3794" w:type="dxa"/>
            <w:gridSpan w:val="2"/>
            <w:tcBorders>
              <w:bottom w:val="double" w:sz="4" w:space="0" w:color="auto"/>
              <w:right w:val="thickThinSmallGap" w:sz="24" w:space="0" w:color="auto"/>
            </w:tcBorders>
            <w:vAlign w:val="center"/>
          </w:tcPr>
          <w:p w:rsidR="00556F10" w:rsidRPr="00835668" w:rsidRDefault="00556F10" w:rsidP="00147E36">
            <w:pPr>
              <w:widowControl/>
              <w:jc w:val="center"/>
              <w:rPr>
                <w:rFonts w:eastAsia="標楷體"/>
                <w:sz w:val="28"/>
                <w:szCs w:val="28"/>
              </w:rPr>
            </w:pPr>
          </w:p>
        </w:tc>
      </w:tr>
      <w:tr w:rsidR="00556F10" w:rsidRPr="00835668" w:rsidTr="00147E36">
        <w:trPr>
          <w:trHeight w:val="2810"/>
        </w:trPr>
        <w:tc>
          <w:tcPr>
            <w:tcW w:w="9582" w:type="dxa"/>
            <w:gridSpan w:val="6"/>
            <w:tcBorders>
              <w:top w:val="double" w:sz="4" w:space="0" w:color="auto"/>
              <w:left w:val="thinThickSmallGap" w:sz="24" w:space="0" w:color="auto"/>
              <w:bottom w:val="double" w:sz="4" w:space="0" w:color="auto"/>
              <w:right w:val="thickThinSmallGap" w:sz="24" w:space="0" w:color="auto"/>
            </w:tcBorders>
            <w:vAlign w:val="center"/>
          </w:tcPr>
          <w:p w:rsidR="00556F10" w:rsidRPr="00835668" w:rsidRDefault="00556F10" w:rsidP="00147E36">
            <w:pPr>
              <w:widowControl/>
              <w:ind w:leftChars="295" w:left="708"/>
              <w:rPr>
                <w:rFonts w:eastAsia="標楷體"/>
                <w:sz w:val="28"/>
                <w:szCs w:val="28"/>
              </w:rPr>
            </w:pPr>
            <w:r w:rsidRPr="00835668">
              <w:rPr>
                <w:rFonts w:eastAsia="標楷體" w:hint="eastAsia"/>
                <w:sz w:val="28"/>
                <w:szCs w:val="28"/>
              </w:rPr>
              <w:t>審查結果：</w:t>
            </w:r>
          </w:p>
          <w:p w:rsidR="00556F10" w:rsidRPr="00835668" w:rsidRDefault="00556F10" w:rsidP="00147E36">
            <w:pPr>
              <w:widowControl/>
              <w:ind w:leftChars="767" w:left="1841"/>
              <w:rPr>
                <w:rFonts w:eastAsia="標楷體"/>
                <w:sz w:val="28"/>
                <w:szCs w:val="28"/>
              </w:rPr>
            </w:pPr>
            <w:r w:rsidRPr="00835668">
              <w:rPr>
                <w:rFonts w:eastAsia="標楷體" w:hint="eastAsia"/>
                <w:sz w:val="28"/>
                <w:szCs w:val="28"/>
              </w:rPr>
              <w:t>□</w:t>
            </w:r>
            <w:r w:rsidRPr="00835668">
              <w:rPr>
                <w:rFonts w:eastAsia="標楷體"/>
                <w:sz w:val="28"/>
                <w:szCs w:val="28"/>
              </w:rPr>
              <w:t xml:space="preserve"> </w:t>
            </w:r>
            <w:r w:rsidRPr="00835668">
              <w:rPr>
                <w:rFonts w:eastAsia="標楷體" w:hint="eastAsia"/>
                <w:sz w:val="28"/>
                <w:szCs w:val="28"/>
              </w:rPr>
              <w:t>通過</w:t>
            </w:r>
          </w:p>
          <w:p w:rsidR="00556F10" w:rsidRPr="00835668" w:rsidRDefault="00556F10" w:rsidP="00147E36">
            <w:pPr>
              <w:widowControl/>
              <w:ind w:leftChars="767" w:left="1841"/>
              <w:rPr>
                <w:rFonts w:eastAsia="標楷體"/>
                <w:sz w:val="28"/>
                <w:szCs w:val="28"/>
              </w:rPr>
            </w:pPr>
            <w:r w:rsidRPr="00835668">
              <w:rPr>
                <w:rFonts w:eastAsia="標楷體" w:hint="eastAsia"/>
                <w:sz w:val="28"/>
                <w:szCs w:val="28"/>
              </w:rPr>
              <w:t>□</w:t>
            </w:r>
            <w:r w:rsidRPr="00835668">
              <w:rPr>
                <w:rFonts w:eastAsia="標楷體"/>
                <w:sz w:val="28"/>
                <w:szCs w:val="28"/>
              </w:rPr>
              <w:t xml:space="preserve"> </w:t>
            </w:r>
            <w:r w:rsidRPr="00835668">
              <w:rPr>
                <w:rFonts w:eastAsia="標楷體" w:hint="eastAsia"/>
                <w:sz w:val="28"/>
                <w:szCs w:val="28"/>
              </w:rPr>
              <w:t>不通過</w:t>
            </w:r>
          </w:p>
        </w:tc>
      </w:tr>
      <w:tr w:rsidR="00556F10" w:rsidRPr="00835668" w:rsidTr="00147E36">
        <w:trPr>
          <w:trHeight w:val="1106"/>
        </w:trPr>
        <w:tc>
          <w:tcPr>
            <w:tcW w:w="2100" w:type="dxa"/>
            <w:tcBorders>
              <w:top w:val="double" w:sz="4" w:space="0" w:color="auto"/>
              <w:left w:val="thinThickSmallGap" w:sz="24" w:space="0" w:color="auto"/>
              <w:bottom w:val="thickThinSmallGap" w:sz="24" w:space="0" w:color="auto"/>
            </w:tcBorders>
            <w:vAlign w:val="center"/>
          </w:tcPr>
          <w:p w:rsidR="00556F10" w:rsidRPr="00835668" w:rsidRDefault="00556F10" w:rsidP="00147E36">
            <w:pPr>
              <w:widowControl/>
              <w:jc w:val="center"/>
              <w:rPr>
                <w:rFonts w:eastAsia="標楷體"/>
                <w:sz w:val="28"/>
                <w:szCs w:val="28"/>
              </w:rPr>
            </w:pPr>
            <w:r w:rsidRPr="00835668">
              <w:rPr>
                <w:rFonts w:eastAsia="標楷體" w:hint="eastAsia"/>
                <w:sz w:val="28"/>
                <w:szCs w:val="28"/>
              </w:rPr>
              <w:t>審查人</w:t>
            </w:r>
          </w:p>
        </w:tc>
        <w:tc>
          <w:tcPr>
            <w:tcW w:w="2691" w:type="dxa"/>
            <w:gridSpan w:val="2"/>
            <w:tcBorders>
              <w:top w:val="double" w:sz="4" w:space="0" w:color="auto"/>
              <w:bottom w:val="thickThinSmallGap" w:sz="24" w:space="0" w:color="auto"/>
              <w:right w:val="double" w:sz="4" w:space="0" w:color="auto"/>
            </w:tcBorders>
            <w:vAlign w:val="center"/>
          </w:tcPr>
          <w:p w:rsidR="00556F10" w:rsidRPr="00835668" w:rsidRDefault="00556F10" w:rsidP="00147E36">
            <w:pPr>
              <w:widowControl/>
              <w:jc w:val="center"/>
              <w:rPr>
                <w:rFonts w:eastAsia="標楷體"/>
                <w:sz w:val="28"/>
                <w:szCs w:val="28"/>
              </w:rPr>
            </w:pPr>
          </w:p>
        </w:tc>
        <w:tc>
          <w:tcPr>
            <w:tcW w:w="2146" w:type="dxa"/>
            <w:gridSpan w:val="2"/>
            <w:tcBorders>
              <w:top w:val="double" w:sz="4" w:space="0" w:color="auto"/>
              <w:left w:val="double" w:sz="4" w:space="0" w:color="auto"/>
              <w:bottom w:val="thickThinSmallGap" w:sz="24" w:space="0" w:color="auto"/>
            </w:tcBorders>
            <w:vAlign w:val="center"/>
          </w:tcPr>
          <w:p w:rsidR="00556F10" w:rsidRPr="00835668" w:rsidRDefault="00556F10" w:rsidP="00147E36">
            <w:pPr>
              <w:widowControl/>
              <w:jc w:val="center"/>
              <w:rPr>
                <w:rFonts w:eastAsia="標楷體"/>
                <w:sz w:val="28"/>
                <w:szCs w:val="28"/>
              </w:rPr>
            </w:pPr>
            <w:r w:rsidRPr="00835668">
              <w:rPr>
                <w:rFonts w:eastAsia="標楷體" w:hint="eastAsia"/>
                <w:sz w:val="28"/>
                <w:szCs w:val="28"/>
              </w:rPr>
              <w:t>審查日期</w:t>
            </w:r>
          </w:p>
        </w:tc>
        <w:tc>
          <w:tcPr>
            <w:tcW w:w="2645" w:type="dxa"/>
            <w:tcBorders>
              <w:top w:val="double" w:sz="4" w:space="0" w:color="auto"/>
              <w:bottom w:val="thickThinSmallGap" w:sz="24" w:space="0" w:color="auto"/>
              <w:right w:val="thickThinSmallGap" w:sz="24" w:space="0" w:color="auto"/>
            </w:tcBorders>
            <w:vAlign w:val="center"/>
          </w:tcPr>
          <w:p w:rsidR="00556F10" w:rsidRPr="00835668" w:rsidRDefault="00556F10" w:rsidP="00147E36">
            <w:pPr>
              <w:widowControl/>
              <w:jc w:val="center"/>
              <w:rPr>
                <w:rFonts w:eastAsia="標楷體"/>
                <w:sz w:val="28"/>
                <w:szCs w:val="28"/>
              </w:rPr>
            </w:pPr>
          </w:p>
        </w:tc>
      </w:tr>
    </w:tbl>
    <w:p w:rsidR="00556F10" w:rsidRPr="00835668" w:rsidRDefault="00556F10" w:rsidP="00556F10">
      <w:pPr>
        <w:pStyle w:val="16"/>
        <w:rPr>
          <w:b w:val="0"/>
          <w:u w:val="none"/>
        </w:rPr>
        <w:sectPr w:rsidR="00556F10" w:rsidRPr="00835668" w:rsidSect="00711313">
          <w:pgSz w:w="11906" w:h="16838"/>
          <w:pgMar w:top="1134" w:right="1134" w:bottom="1134" w:left="1134" w:header="851" w:footer="992" w:gutter="0"/>
          <w:cols w:space="425"/>
          <w:docGrid w:type="linesAndChars" w:linePitch="360"/>
        </w:sectPr>
      </w:pPr>
    </w:p>
    <w:p w:rsidR="003A0A67" w:rsidRDefault="00556F10" w:rsidP="00556F10">
      <w:pPr>
        <w:widowControl/>
        <w:rPr>
          <w:noProof/>
        </w:rPr>
      </w:pPr>
      <w:r w:rsidRPr="00835668">
        <w:rPr>
          <w:noProof/>
        </w:rPr>
        <w:lastRenderedPageBreak/>
        <w:drawing>
          <wp:inline distT="0" distB="0" distL="0" distR="0" wp14:anchorId="316C85F4" wp14:editId="2B5BA84D">
            <wp:extent cx="6120130" cy="885888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嗅劑.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858885"/>
                    </a:xfrm>
                    <a:prstGeom prst="rect">
                      <a:avLst/>
                    </a:prstGeom>
                  </pic:spPr>
                </pic:pic>
              </a:graphicData>
            </a:graphic>
          </wp:inline>
        </w:drawing>
      </w:r>
      <w:bookmarkStart w:id="7" w:name="_GoBack"/>
      <w:bookmarkEnd w:id="7"/>
    </w:p>
    <w:sectPr w:rsidR="003A0A67" w:rsidSect="00556F1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DD" w:rsidRDefault="00556F10">
    <w:pPr>
      <w:pStyle w:val="a4"/>
      <w:jc w:val="center"/>
    </w:pPr>
    <w:r>
      <w:fldChar w:fldCharType="begin"/>
    </w:r>
    <w:r>
      <w:instrText xml:space="preserve"> PAGE   \* MERGEFORMAT </w:instrText>
    </w:r>
    <w:r>
      <w:fldChar w:fldCharType="separate"/>
    </w:r>
    <w:r w:rsidRPr="00556F10">
      <w:rPr>
        <w:noProof/>
        <w:lang w:val="zh-TW"/>
      </w:rPr>
      <w:t>4</w:t>
    </w:r>
    <w:r>
      <w:rPr>
        <w:noProof/>
        <w:lang w:val="zh-TW"/>
      </w:rPr>
      <w:fldChar w:fldCharType="end"/>
    </w:r>
  </w:p>
  <w:p w:rsidR="008A1EDD" w:rsidRDefault="00556F10">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9DA"/>
    <w:multiLevelType w:val="hybridMultilevel"/>
    <w:tmpl w:val="966E697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1A53891"/>
    <w:multiLevelType w:val="hybridMultilevel"/>
    <w:tmpl w:val="822C7822"/>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4F38A0"/>
    <w:multiLevelType w:val="hybridMultilevel"/>
    <w:tmpl w:val="6C64C4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AF0193B"/>
    <w:multiLevelType w:val="hybridMultilevel"/>
    <w:tmpl w:val="323482CC"/>
    <w:lvl w:ilvl="0" w:tplc="C73821CA">
      <w:start w:val="1"/>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nsid w:val="52EC6681"/>
    <w:multiLevelType w:val="hybridMultilevel"/>
    <w:tmpl w:val="16203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10F349E"/>
    <w:multiLevelType w:val="hybridMultilevel"/>
    <w:tmpl w:val="822C7822"/>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10"/>
    <w:rsid w:val="003A0A67"/>
    <w:rsid w:val="00556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1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F10"/>
    <w:pPr>
      <w:ind w:leftChars="200" w:left="480"/>
    </w:pPr>
  </w:style>
  <w:style w:type="paragraph" w:styleId="a4">
    <w:name w:val="footer"/>
    <w:basedOn w:val="a"/>
    <w:link w:val="a5"/>
    <w:uiPriority w:val="99"/>
    <w:rsid w:val="00556F10"/>
    <w:pPr>
      <w:tabs>
        <w:tab w:val="center" w:pos="4153"/>
        <w:tab w:val="right" w:pos="8306"/>
      </w:tabs>
      <w:snapToGrid w:val="0"/>
    </w:pPr>
    <w:rPr>
      <w:sz w:val="20"/>
      <w:szCs w:val="20"/>
    </w:rPr>
  </w:style>
  <w:style w:type="character" w:customStyle="1" w:styleId="a5">
    <w:name w:val="頁尾 字元"/>
    <w:basedOn w:val="a0"/>
    <w:link w:val="a4"/>
    <w:uiPriority w:val="99"/>
    <w:rsid w:val="00556F10"/>
    <w:rPr>
      <w:rFonts w:ascii="Times New Roman" w:eastAsia="新細明體" w:hAnsi="Times New Roman" w:cs="Times New Roman"/>
      <w:sz w:val="20"/>
      <w:szCs w:val="20"/>
    </w:rPr>
  </w:style>
  <w:style w:type="paragraph" w:customStyle="1" w:styleId="16">
    <w:name w:val="粗體16"/>
    <w:basedOn w:val="a"/>
    <w:uiPriority w:val="99"/>
    <w:semiHidden/>
    <w:rsid w:val="00556F10"/>
    <w:pPr>
      <w:spacing w:line="520" w:lineRule="exact"/>
    </w:pPr>
    <w:rPr>
      <w:rFonts w:eastAsia="標楷體"/>
      <w:b/>
      <w:sz w:val="32"/>
      <w:szCs w:val="32"/>
      <w:u w:val="single"/>
    </w:rPr>
  </w:style>
  <w:style w:type="paragraph" w:customStyle="1" w:styleId="SOP">
    <w:name w:val="SOP標題"/>
    <w:basedOn w:val="a"/>
    <w:uiPriority w:val="99"/>
    <w:rsid w:val="00556F10"/>
    <w:pPr>
      <w:jc w:val="center"/>
    </w:pPr>
    <w:rPr>
      <w:rFonts w:ascii="標楷體" w:eastAsia="標楷體" w:hAnsi="標楷體"/>
      <w:b/>
      <w:sz w:val="72"/>
      <w:szCs w:val="72"/>
    </w:rPr>
  </w:style>
  <w:style w:type="paragraph" w:styleId="a6">
    <w:name w:val="Balloon Text"/>
    <w:basedOn w:val="a"/>
    <w:link w:val="a7"/>
    <w:uiPriority w:val="99"/>
    <w:semiHidden/>
    <w:unhideWhenUsed/>
    <w:rsid w:val="00556F1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56F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1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F10"/>
    <w:pPr>
      <w:ind w:leftChars="200" w:left="480"/>
    </w:pPr>
  </w:style>
  <w:style w:type="paragraph" w:styleId="a4">
    <w:name w:val="footer"/>
    <w:basedOn w:val="a"/>
    <w:link w:val="a5"/>
    <w:uiPriority w:val="99"/>
    <w:rsid w:val="00556F10"/>
    <w:pPr>
      <w:tabs>
        <w:tab w:val="center" w:pos="4153"/>
        <w:tab w:val="right" w:pos="8306"/>
      </w:tabs>
      <w:snapToGrid w:val="0"/>
    </w:pPr>
    <w:rPr>
      <w:sz w:val="20"/>
      <w:szCs w:val="20"/>
    </w:rPr>
  </w:style>
  <w:style w:type="character" w:customStyle="1" w:styleId="a5">
    <w:name w:val="頁尾 字元"/>
    <w:basedOn w:val="a0"/>
    <w:link w:val="a4"/>
    <w:uiPriority w:val="99"/>
    <w:rsid w:val="00556F10"/>
    <w:rPr>
      <w:rFonts w:ascii="Times New Roman" w:eastAsia="新細明體" w:hAnsi="Times New Roman" w:cs="Times New Roman"/>
      <w:sz w:val="20"/>
      <w:szCs w:val="20"/>
    </w:rPr>
  </w:style>
  <w:style w:type="paragraph" w:customStyle="1" w:styleId="16">
    <w:name w:val="粗體16"/>
    <w:basedOn w:val="a"/>
    <w:uiPriority w:val="99"/>
    <w:semiHidden/>
    <w:rsid w:val="00556F10"/>
    <w:pPr>
      <w:spacing w:line="520" w:lineRule="exact"/>
    </w:pPr>
    <w:rPr>
      <w:rFonts w:eastAsia="標楷體"/>
      <w:b/>
      <w:sz w:val="32"/>
      <w:szCs w:val="32"/>
      <w:u w:val="single"/>
    </w:rPr>
  </w:style>
  <w:style w:type="paragraph" w:customStyle="1" w:styleId="SOP">
    <w:name w:val="SOP標題"/>
    <w:basedOn w:val="a"/>
    <w:uiPriority w:val="99"/>
    <w:rsid w:val="00556F10"/>
    <w:pPr>
      <w:jc w:val="center"/>
    </w:pPr>
    <w:rPr>
      <w:rFonts w:ascii="標楷體" w:eastAsia="標楷體" w:hAnsi="標楷體"/>
      <w:b/>
      <w:sz w:val="72"/>
      <w:szCs w:val="72"/>
    </w:rPr>
  </w:style>
  <w:style w:type="paragraph" w:styleId="a6">
    <w:name w:val="Balloon Text"/>
    <w:basedOn w:val="a"/>
    <w:link w:val="a7"/>
    <w:uiPriority w:val="99"/>
    <w:semiHidden/>
    <w:unhideWhenUsed/>
    <w:rsid w:val="00556F1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56F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Words>
  <Characters>477</Characters>
  <Application>Microsoft Office Word</Application>
  <DocSecurity>0</DocSecurity>
  <Lines>3</Lines>
  <Paragraphs>1</Paragraphs>
  <ScaleCrop>false</ScaleCrop>
  <Company>MOEABOE</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c:creator>
  <cp:lastModifiedBy>boe</cp:lastModifiedBy>
  <cp:revision>1</cp:revision>
  <dcterms:created xsi:type="dcterms:W3CDTF">2019-10-31T03:54:00Z</dcterms:created>
  <dcterms:modified xsi:type="dcterms:W3CDTF">2019-10-31T03:54:00Z</dcterms:modified>
</cp:coreProperties>
</file>