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CC" w:rsidRPr="00835668" w:rsidRDefault="00E17ACC" w:rsidP="00E17ACC">
      <w:pPr>
        <w:widowControl/>
        <w:rPr>
          <w:rFonts w:eastAsia="標楷體"/>
          <w:b/>
          <w:sz w:val="32"/>
          <w:szCs w:val="32"/>
        </w:rPr>
      </w:pPr>
      <w:r w:rsidRPr="00835668"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FAED" wp14:editId="12B333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1806575"/>
                <wp:effectExtent l="0" t="0" r="6350" b="3175"/>
                <wp:wrapSquare wrapText="bothSides"/>
                <wp:docPr id="688" name="圓角矩形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8065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ACC" w:rsidRPr="00F92CC3" w:rsidRDefault="00E17ACC" w:rsidP="00E17ACC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十四、公用天然氣事業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轉投資其他事業之核准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88" o:spid="_x0000_s1026" style="position:absolute;margin-left:0;margin-top:0;width:470.5pt;height:14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" fillcolor="#4f81bd [3204]" stroked="f" strokeweight="2pt">
                <v:textbox>
                  <w:txbxContent>
                    <w:p w:rsidR="00E17ACC" w:rsidRPr="00F92CC3" w:rsidRDefault="00E17ACC" w:rsidP="00E17ACC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十四、公用天然氣事業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轉投資其他事業之核准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E17ACC" w:rsidRPr="00835668" w:rsidRDefault="00E17ACC" w:rsidP="00E17ACC">
      <w:pPr>
        <w:pStyle w:val="16"/>
        <w:rPr>
          <w:u w:val="none"/>
        </w:rPr>
      </w:pPr>
      <w:bookmarkStart w:id="0" w:name="_Toc500756582"/>
      <w:r w:rsidRPr="00835668">
        <w:rPr>
          <w:rFonts w:hint="eastAsia"/>
          <w:u w:val="none"/>
        </w:rPr>
        <w:lastRenderedPageBreak/>
        <w:t>「公用天然氣事業轉投資其他事業」之審查作業程序</w:t>
      </w:r>
      <w:bookmarkEnd w:id="0"/>
    </w:p>
    <w:p w:rsidR="00E17ACC" w:rsidRPr="00835668" w:rsidRDefault="00E17ACC" w:rsidP="00E17ACC">
      <w:pPr>
        <w:tabs>
          <w:tab w:val="left" w:pos="180"/>
        </w:tabs>
        <w:spacing w:beforeLines="50" w:before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E17ACC" w:rsidRPr="00835668" w:rsidRDefault="00E17ACC" w:rsidP="00E17ACC">
      <w:pPr>
        <w:pStyle w:val="a3"/>
        <w:numPr>
          <w:ilvl w:val="0"/>
          <w:numId w:val="5"/>
        </w:numPr>
        <w:tabs>
          <w:tab w:val="left" w:pos="993"/>
        </w:tabs>
        <w:spacing w:beforeLines="50" w:before="180"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「天然氣事業法」第四十二條：</w:t>
      </w:r>
    </w:p>
    <w:p w:rsidR="00E17ACC" w:rsidRPr="00835668" w:rsidRDefault="00E17ACC" w:rsidP="00E17ACC">
      <w:pPr>
        <w:tabs>
          <w:tab w:val="left" w:pos="993"/>
        </w:tabs>
        <w:spacing w:beforeLines="50" w:before="180" w:line="440" w:lineRule="exact"/>
        <w:ind w:leftChars="204" w:left="49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公用天然氣事業轉投資其他事業，不得影響其供氣業務之正常營運；進行轉投資其他事業者，應將投資項目及金額，報經直轄市、縣（市）主管機關轉請中央主管機關核准後，始得為之。</w:t>
      </w:r>
    </w:p>
    <w:p w:rsidR="00E17ACC" w:rsidRPr="00835668" w:rsidRDefault="00E17ACC" w:rsidP="00E17ACC">
      <w:pPr>
        <w:pStyle w:val="a3"/>
        <w:numPr>
          <w:ilvl w:val="0"/>
          <w:numId w:val="5"/>
        </w:numPr>
        <w:tabs>
          <w:tab w:val="left" w:pos="993"/>
        </w:tabs>
        <w:spacing w:beforeLines="50" w:before="180"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經濟部中華民國一百零一年一月十一日</w:t>
      </w:r>
      <w:proofErr w:type="gramStart"/>
      <w:r w:rsidRPr="00835668">
        <w:rPr>
          <w:rFonts w:eastAsia="標楷體" w:hint="eastAsia"/>
          <w:sz w:val="28"/>
          <w:szCs w:val="28"/>
        </w:rPr>
        <w:t>經能字</w:t>
      </w:r>
      <w:proofErr w:type="gramEnd"/>
      <w:r w:rsidRPr="00835668">
        <w:rPr>
          <w:rFonts w:eastAsia="標楷體" w:hint="eastAsia"/>
          <w:sz w:val="28"/>
          <w:szCs w:val="28"/>
        </w:rPr>
        <w:t>第</w:t>
      </w:r>
      <w:r w:rsidRPr="00835668">
        <w:rPr>
          <w:rFonts w:eastAsia="標楷體"/>
          <w:sz w:val="28"/>
          <w:szCs w:val="28"/>
        </w:rPr>
        <w:t>10104600050</w:t>
      </w:r>
      <w:r w:rsidRPr="00835668">
        <w:rPr>
          <w:rFonts w:eastAsia="標楷體" w:hint="eastAsia"/>
          <w:sz w:val="28"/>
          <w:szCs w:val="28"/>
        </w:rPr>
        <w:t>號解釋令</w:t>
      </w:r>
      <w:proofErr w:type="gramStart"/>
      <w:r w:rsidRPr="00835668">
        <w:rPr>
          <w:rFonts w:eastAsia="標楷體" w:hint="eastAsia"/>
          <w:sz w:val="28"/>
          <w:szCs w:val="28"/>
        </w:rPr>
        <w:t>﹙</w:t>
      </w:r>
      <w:proofErr w:type="gramEnd"/>
      <w:r w:rsidRPr="00835668">
        <w:rPr>
          <w:rFonts w:eastAsia="標楷體" w:hint="eastAsia"/>
          <w:sz w:val="28"/>
          <w:szCs w:val="28"/>
        </w:rPr>
        <w:t>內容詳見（二）審查方式＞</w:t>
      </w:r>
      <w:r w:rsidRPr="00835668">
        <w:rPr>
          <w:rFonts w:eastAsia="標楷體" w:hint="eastAsia"/>
          <w:sz w:val="28"/>
          <w:szCs w:val="28"/>
        </w:rPr>
        <w:t xml:space="preserve">2. </w:t>
      </w:r>
      <w:r w:rsidRPr="00835668">
        <w:rPr>
          <w:rFonts w:eastAsia="標楷體" w:hint="eastAsia"/>
          <w:sz w:val="28"/>
          <w:szCs w:val="28"/>
        </w:rPr>
        <w:t>文件內容＞</w:t>
      </w:r>
      <w:r w:rsidRPr="00835668">
        <w:rPr>
          <w:rFonts w:eastAsia="標楷體" w:hint="eastAsia"/>
          <w:sz w:val="28"/>
          <w:szCs w:val="28"/>
        </w:rPr>
        <w:t xml:space="preserve">(2) </w:t>
      </w:r>
      <w:r w:rsidRPr="00835668">
        <w:rPr>
          <w:rFonts w:eastAsia="標楷體" w:hint="eastAsia"/>
          <w:sz w:val="28"/>
          <w:szCs w:val="28"/>
        </w:rPr>
        <w:t>內容審查</w:t>
      </w:r>
      <w:proofErr w:type="gramStart"/>
      <w:r w:rsidRPr="00835668">
        <w:rPr>
          <w:rFonts w:eastAsia="標楷體" w:hint="eastAsia"/>
          <w:sz w:val="28"/>
          <w:szCs w:val="28"/>
        </w:rPr>
        <w:t>﹚</w:t>
      </w:r>
      <w:proofErr w:type="gramEnd"/>
      <w:r w:rsidRPr="00835668">
        <w:rPr>
          <w:rFonts w:eastAsia="標楷體" w:hint="eastAsia"/>
          <w:sz w:val="28"/>
          <w:szCs w:val="28"/>
        </w:rPr>
        <w:t>。</w:t>
      </w:r>
    </w:p>
    <w:p w:rsidR="00E17ACC" w:rsidRPr="00835668" w:rsidRDefault="00E17ACC" w:rsidP="00E17ACC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095"/>
      </w:tblGrid>
      <w:tr w:rsidR="00E17ACC" w:rsidRPr="00835668" w:rsidTr="00147E36">
        <w:trPr>
          <w:trHeight w:val="1252"/>
        </w:trPr>
        <w:tc>
          <w:tcPr>
            <w:tcW w:w="2265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095" w:type="dxa"/>
            <w:vAlign w:val="center"/>
          </w:tcPr>
          <w:p w:rsidR="00E17ACC" w:rsidRPr="00835668" w:rsidRDefault="00E17ACC" w:rsidP="00147E36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公用天然氣事業提報投資項目及金額是否經直轄市、縣（市）主管機關轉報中央主管機關。</w:t>
            </w:r>
          </w:p>
        </w:tc>
      </w:tr>
      <w:tr w:rsidR="00E17ACC" w:rsidRPr="00835668" w:rsidTr="00147E36">
        <w:trPr>
          <w:trHeight w:val="5806"/>
        </w:trPr>
        <w:tc>
          <w:tcPr>
            <w:tcW w:w="2265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4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</w:t>
            </w:r>
          </w:p>
        </w:tc>
        <w:tc>
          <w:tcPr>
            <w:tcW w:w="7095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文件項目：</w:t>
            </w:r>
          </w:p>
          <w:p w:rsidR="00E17ACC" w:rsidRPr="00835668" w:rsidRDefault="00E17ACC" w:rsidP="00147E36">
            <w:pPr>
              <w:pStyle w:val="a3"/>
              <w:spacing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投資項目、金額、預期增加營運效益，及不影響供氣業務之說明。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2"/>
              </w:numPr>
              <w:spacing w:beforeLines="50" w:before="180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1"/>
              </w:numPr>
              <w:spacing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轉投資其他事業之總金額不得超過事業總資產之百分之五十。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1"/>
              </w:numPr>
              <w:spacing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持股比率未達百分之三之股權或其他非股權性之投資，以投資金額合計數及投資項目變動對照方式報核准。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1"/>
              </w:numPr>
              <w:spacing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持股比率百分之三以上之股權投資，應將投資項目及金額逐一報核准。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1"/>
              </w:numPr>
              <w:spacing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投資項目應與公用天然氣事業經營業務相關，或以能增加公用天然氣事業經營整體效益為原則，同時須建立停損及風險管理機制。</w:t>
            </w:r>
          </w:p>
        </w:tc>
      </w:tr>
    </w:tbl>
    <w:p w:rsidR="00E17ACC" w:rsidRPr="00835668" w:rsidRDefault="00E17ACC" w:rsidP="00E17ACC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E17ACC" w:rsidRDefault="00E17ACC" w:rsidP="00E17ACC">
      <w:pPr>
        <w:tabs>
          <w:tab w:val="left" w:pos="900"/>
        </w:tabs>
        <w:spacing w:beforeLines="50" w:before="180" w:afterLines="50" w:after="180" w:line="520" w:lineRule="exact"/>
        <w:rPr>
          <w:rFonts w:eastAsia="標楷體"/>
          <w:b/>
          <w:sz w:val="28"/>
          <w:szCs w:val="28"/>
        </w:rPr>
      </w:pPr>
    </w:p>
    <w:p w:rsidR="00E17ACC" w:rsidRPr="00835668" w:rsidRDefault="00E17ACC" w:rsidP="00E17ACC">
      <w:pPr>
        <w:tabs>
          <w:tab w:val="left" w:pos="900"/>
        </w:tabs>
        <w:spacing w:beforeLines="50" w:before="180" w:afterLines="50" w:after="180" w:line="520" w:lineRule="exact"/>
        <w:rPr>
          <w:rFonts w:eastAsia="標楷體"/>
          <w:b/>
          <w:sz w:val="28"/>
          <w:szCs w:val="28"/>
        </w:rPr>
      </w:pPr>
    </w:p>
    <w:p w:rsidR="00E17ACC" w:rsidRPr="00835668" w:rsidRDefault="00E17ACC" w:rsidP="00E17ACC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310"/>
      </w:tblGrid>
      <w:tr w:rsidR="00E17ACC" w:rsidRPr="00835668" w:rsidTr="00147E36">
        <w:trPr>
          <w:trHeight w:val="1417"/>
        </w:trPr>
        <w:tc>
          <w:tcPr>
            <w:tcW w:w="2230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7310" w:type="dxa"/>
            <w:vAlign w:val="center"/>
          </w:tcPr>
          <w:p w:rsidR="00E17ACC" w:rsidRPr="00835668" w:rsidRDefault="00E17ACC" w:rsidP="00147E36">
            <w:pPr>
              <w:spacing w:beforeLines="20" w:before="72" w:afterLines="20"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文件項目及內容有欠缺者，限期於能源局發文日起二十一日內補正。</w:t>
            </w:r>
          </w:p>
        </w:tc>
      </w:tr>
      <w:tr w:rsidR="00E17ACC" w:rsidRPr="00835668" w:rsidTr="00147E36">
        <w:trPr>
          <w:trHeight w:val="1549"/>
        </w:trPr>
        <w:tc>
          <w:tcPr>
            <w:tcW w:w="2230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否准辦理</w:t>
            </w:r>
          </w:p>
        </w:tc>
        <w:tc>
          <w:tcPr>
            <w:tcW w:w="7310" w:type="dxa"/>
            <w:vAlign w:val="center"/>
          </w:tcPr>
          <w:p w:rsidR="00E17ACC" w:rsidRPr="00835668" w:rsidRDefault="00E17ACC" w:rsidP="00147E36">
            <w:pPr>
              <w:spacing w:beforeLines="20" w:before="72" w:afterLines="20"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下列情形，否准辦理：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6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未符上述審查原則者。</w:t>
            </w:r>
          </w:p>
          <w:p w:rsidR="00E17ACC" w:rsidRPr="00835668" w:rsidRDefault="00E17ACC" w:rsidP="00E17ACC">
            <w:pPr>
              <w:pStyle w:val="a3"/>
              <w:numPr>
                <w:ilvl w:val="0"/>
                <w:numId w:val="6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逾期未依規定補正者。</w:t>
            </w:r>
          </w:p>
        </w:tc>
      </w:tr>
      <w:tr w:rsidR="00E17ACC" w:rsidRPr="00835668" w:rsidTr="00147E36">
        <w:trPr>
          <w:trHeight w:val="968"/>
        </w:trPr>
        <w:tc>
          <w:tcPr>
            <w:tcW w:w="2230" w:type="dxa"/>
            <w:vAlign w:val="center"/>
          </w:tcPr>
          <w:p w:rsidR="00E17ACC" w:rsidRPr="00835668" w:rsidRDefault="00E17ACC" w:rsidP="00E17ACC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核准辦理</w:t>
            </w:r>
          </w:p>
        </w:tc>
        <w:tc>
          <w:tcPr>
            <w:tcW w:w="7310" w:type="dxa"/>
            <w:vAlign w:val="center"/>
          </w:tcPr>
          <w:p w:rsidR="00E17ACC" w:rsidRPr="00835668" w:rsidRDefault="00E17ACC" w:rsidP="00147E36">
            <w:pPr>
              <w:spacing w:beforeLines="20" w:before="72" w:afterLines="20"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審查通過者，核准辦理。</w:t>
            </w:r>
            <w:r w:rsidRPr="0083566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</w:tbl>
    <w:p w:rsidR="00E17ACC" w:rsidRPr="00E17ACC" w:rsidRDefault="00E17ACC" w:rsidP="00E17ACC">
      <w:pPr>
        <w:sectPr w:rsidR="00E17ACC" w:rsidRPr="00E17ACC" w:rsidSect="00E17ACC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3A0A67" w:rsidRDefault="00E3730B" w:rsidP="00E17ACC">
      <w:r w:rsidRPr="00835668">
        <w:rPr>
          <w:noProof/>
        </w:rPr>
        <w:lastRenderedPageBreak/>
        <w:drawing>
          <wp:inline distT="0" distB="0" distL="0" distR="0" wp14:anchorId="763E9F9D" wp14:editId="5B7E4272">
            <wp:extent cx="6120130" cy="8896985"/>
            <wp:effectExtent l="0" t="0" r="0" b="0"/>
            <wp:docPr id="699" name="圖片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 轉投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A0A67" w:rsidSect="00E17A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730B">
      <w:r>
        <w:separator/>
      </w:r>
    </w:p>
  </w:endnote>
  <w:endnote w:type="continuationSeparator" w:id="0">
    <w:p w:rsidR="00000000" w:rsidRDefault="00E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E17A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730B" w:rsidRPr="00E3730B">
      <w:rPr>
        <w:noProof/>
        <w:lang w:val="zh-TW"/>
      </w:rPr>
      <w:t>4</w:t>
    </w:r>
    <w:r>
      <w:fldChar w:fldCharType="end"/>
    </w:r>
  </w:p>
  <w:p w:rsidR="008A1EDD" w:rsidRDefault="00E373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730B">
      <w:r>
        <w:separator/>
      </w:r>
    </w:p>
  </w:footnote>
  <w:footnote w:type="continuationSeparator" w:id="0">
    <w:p w:rsidR="00000000" w:rsidRDefault="00E3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E33"/>
    <w:multiLevelType w:val="hybridMultilevel"/>
    <w:tmpl w:val="2EACCE7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74F6A75"/>
    <w:multiLevelType w:val="hybridMultilevel"/>
    <w:tmpl w:val="32D20A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5E03C9"/>
    <w:multiLevelType w:val="hybridMultilevel"/>
    <w:tmpl w:val="6538B3B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704A50"/>
    <w:multiLevelType w:val="hybridMultilevel"/>
    <w:tmpl w:val="4C5CCAF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ED26858"/>
    <w:multiLevelType w:val="hybridMultilevel"/>
    <w:tmpl w:val="898E83B4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C00487"/>
    <w:multiLevelType w:val="hybridMultilevel"/>
    <w:tmpl w:val="8D22E394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CC"/>
    <w:rsid w:val="003A0A67"/>
    <w:rsid w:val="00E17ACC"/>
    <w:rsid w:val="00E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CC"/>
    <w:pPr>
      <w:ind w:leftChars="200" w:left="480"/>
    </w:pPr>
  </w:style>
  <w:style w:type="paragraph" w:styleId="a4">
    <w:name w:val="footer"/>
    <w:basedOn w:val="a"/>
    <w:link w:val="a5"/>
    <w:uiPriority w:val="99"/>
    <w:rsid w:val="00E17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7ACC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E17ACC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E17ACC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E1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17A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CC"/>
    <w:pPr>
      <w:ind w:leftChars="200" w:left="480"/>
    </w:pPr>
  </w:style>
  <w:style w:type="paragraph" w:styleId="a4">
    <w:name w:val="footer"/>
    <w:basedOn w:val="a"/>
    <w:link w:val="a5"/>
    <w:uiPriority w:val="99"/>
    <w:rsid w:val="00E17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7ACC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E17ACC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E17ACC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E1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1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</Words>
  <Characters>492</Characters>
  <Application>Microsoft Office Word</Application>
  <DocSecurity>0</DocSecurity>
  <Lines>4</Lines>
  <Paragraphs>1</Paragraphs>
  <ScaleCrop>false</ScaleCrop>
  <Company>MOEABOE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2019-10-31T03:58:00Z</dcterms:created>
  <dcterms:modified xsi:type="dcterms:W3CDTF">2019-10-31T06:03:00Z</dcterms:modified>
</cp:coreProperties>
</file>