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D9" w:rsidRPr="00835668" w:rsidRDefault="003534D9" w:rsidP="003534D9">
      <w:pPr>
        <w:pStyle w:val="16"/>
        <w:rPr>
          <w:b w:val="0"/>
          <w:u w:val="none"/>
        </w:rPr>
        <w:sectPr w:rsidR="003534D9" w:rsidRPr="00835668" w:rsidSect="00711313">
          <w:footerReference w:type="default" r:id="rId6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bookmarkStart w:id="0" w:name="_Toc341363087"/>
      <w:bookmarkStart w:id="1" w:name="_Toc500756586"/>
      <w:r w:rsidRPr="00835668">
        <w:rPr>
          <w:b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8992C" wp14:editId="4B28E9D3">
                <wp:simplePos x="0" y="0"/>
                <wp:positionH relativeFrom="margin">
                  <wp:posOffset>67310</wp:posOffset>
                </wp:positionH>
                <wp:positionV relativeFrom="margin">
                  <wp:posOffset>3616325</wp:posOffset>
                </wp:positionV>
                <wp:extent cx="5975350" cy="2180590"/>
                <wp:effectExtent l="0" t="0" r="0" b="3810"/>
                <wp:wrapSquare wrapText="bothSides"/>
                <wp:docPr id="693" name="圓角矩形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21805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4D9" w:rsidRPr="00F92CC3" w:rsidRDefault="003534D9" w:rsidP="003534D9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D513A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十八、公用天然氣事業定期檢查家庭等用戶事項之核定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93" o:spid="_x0000_s1026" style="position:absolute;margin-left:5.3pt;margin-top:284.75pt;width:470.5pt;height:17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" fillcolor="#4f81bd [3204]" stroked="f" strokeweight="2pt">
                <v:textbox>
                  <w:txbxContent>
                    <w:p w:rsidR="003534D9" w:rsidRPr="00F92CC3" w:rsidRDefault="003534D9" w:rsidP="003534D9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D513A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十八、公用天然氣事業定期檢查家庭等用戶事項之核定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bookmarkEnd w:id="1"/>
    </w:p>
    <w:p w:rsidR="003534D9" w:rsidRPr="00835668" w:rsidRDefault="003534D9" w:rsidP="003534D9">
      <w:pPr>
        <w:pStyle w:val="16"/>
        <w:spacing w:line="400" w:lineRule="exact"/>
        <w:rPr>
          <w:u w:val="none"/>
        </w:rPr>
      </w:pPr>
      <w:bookmarkStart w:id="2" w:name="_Toc500756587"/>
      <w:r w:rsidRPr="00835668">
        <w:rPr>
          <w:rFonts w:hint="eastAsia"/>
          <w:u w:val="none"/>
        </w:rPr>
        <w:lastRenderedPageBreak/>
        <w:t>「公用天然氣事業對家庭、商業及服務業用戶定期檢查項目」之審查作業程序</w:t>
      </w:r>
      <w:bookmarkEnd w:id="2"/>
    </w:p>
    <w:p w:rsidR="003534D9" w:rsidRPr="00835668" w:rsidRDefault="003534D9" w:rsidP="003534D9">
      <w:pPr>
        <w:tabs>
          <w:tab w:val="left" w:pos="180"/>
        </w:tabs>
        <w:spacing w:beforeLines="50" w:before="180" w:afterLines="50" w:after="180" w:line="48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（一）法源依據：</w:t>
      </w:r>
    </w:p>
    <w:p w:rsidR="003534D9" w:rsidRPr="00835668" w:rsidRDefault="003534D9" w:rsidP="003534D9">
      <w:pPr>
        <w:tabs>
          <w:tab w:val="left" w:pos="993"/>
        </w:tabs>
        <w:spacing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「天然氣事業法」第四十八條第五項：</w:t>
      </w:r>
    </w:p>
    <w:p w:rsidR="003534D9" w:rsidRPr="00835668" w:rsidRDefault="003534D9" w:rsidP="003534D9">
      <w:pPr>
        <w:tabs>
          <w:tab w:val="left" w:pos="993"/>
        </w:tabs>
        <w:spacing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第一項定期檢查之項目、期限、作業方式、收費項目及費用計算方式事項，應報經直轄市、縣（市）主管機關轉請中央主管機關核定後，載明於公用天然氣事業之營業章程。但家庭用戶之定期檢查，不得另行收費。</w:t>
      </w:r>
    </w:p>
    <w:p w:rsidR="003534D9" w:rsidRPr="00835668" w:rsidRDefault="003534D9" w:rsidP="003534D9">
      <w:pPr>
        <w:tabs>
          <w:tab w:val="left" w:pos="180"/>
        </w:tabs>
        <w:spacing w:beforeLines="50" w:before="180" w:afterLines="50" w:after="18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（二）審查原則：</w:t>
      </w:r>
    </w:p>
    <w:tbl>
      <w:tblPr>
        <w:tblW w:w="910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93"/>
      </w:tblGrid>
      <w:tr w:rsidR="003534D9" w:rsidRPr="00835668" w:rsidTr="00147E36">
        <w:trPr>
          <w:trHeight w:val="969"/>
        </w:trPr>
        <w:tc>
          <w:tcPr>
            <w:tcW w:w="2410" w:type="dxa"/>
            <w:vAlign w:val="center"/>
          </w:tcPr>
          <w:p w:rsidR="003534D9" w:rsidRPr="00835668" w:rsidRDefault="003534D9" w:rsidP="003534D9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6693" w:type="dxa"/>
          </w:tcPr>
          <w:p w:rsidR="003534D9" w:rsidRPr="00835668" w:rsidRDefault="003534D9" w:rsidP="00147E36">
            <w:pPr>
              <w:spacing w:beforeLines="30" w:before="108" w:line="360" w:lineRule="exact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公用天然氣事業提報定期檢查事項，是否經直轄市、縣（市）主管機關轉請中央主管機關。</w:t>
            </w:r>
          </w:p>
        </w:tc>
      </w:tr>
      <w:tr w:rsidR="003534D9" w:rsidRPr="00835668" w:rsidTr="00147E36">
        <w:trPr>
          <w:trHeight w:val="6996"/>
        </w:trPr>
        <w:tc>
          <w:tcPr>
            <w:tcW w:w="2410" w:type="dxa"/>
            <w:vAlign w:val="center"/>
          </w:tcPr>
          <w:p w:rsidR="003534D9" w:rsidRPr="00835668" w:rsidRDefault="003534D9" w:rsidP="003534D9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項目及內容</w:t>
            </w:r>
          </w:p>
        </w:tc>
        <w:tc>
          <w:tcPr>
            <w:tcW w:w="6693" w:type="dxa"/>
          </w:tcPr>
          <w:p w:rsidR="003534D9" w:rsidRPr="00835668" w:rsidRDefault="003534D9" w:rsidP="003534D9">
            <w:pPr>
              <w:pStyle w:val="a3"/>
              <w:numPr>
                <w:ilvl w:val="0"/>
                <w:numId w:val="1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定期檢查項目應包括：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2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檢查項目（計量表、建物內之表內管、表外管與爐具位置）。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2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期限（家庭用戶至少兩年一次，商業及服務業用戶至少一年一次）。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2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作業方式（事前通知、佩帶識別證及現場不收費等）。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2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收費項目（用戶所有之表內管等）</w:t>
            </w:r>
            <w:r w:rsidRPr="0083566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2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費用計算方式</w:t>
            </w:r>
            <w:r w:rsidRPr="0083566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1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內容審查：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建物內之</w:t>
            </w:r>
            <w:r w:rsidRPr="00835668">
              <w:rPr>
                <w:rFonts w:eastAsia="標楷體" w:hint="eastAsia"/>
                <w:noProof/>
                <w:sz w:val="28"/>
                <w:szCs w:val="28"/>
              </w:rPr>
              <w:t>表內管、表外管洩漏之檢測方式，及處理作業。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建物內之</w:t>
            </w:r>
            <w:r w:rsidRPr="00835668">
              <w:rPr>
                <w:rFonts w:eastAsia="標楷體" w:hint="eastAsia"/>
                <w:noProof/>
                <w:sz w:val="28"/>
                <w:szCs w:val="28"/>
              </w:rPr>
              <w:t>表內管、計量表與爐具之距離，應有合理明確數字。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更換</w:t>
            </w:r>
            <w:r w:rsidRPr="00835668">
              <w:rPr>
                <w:rFonts w:eastAsia="標楷體" w:hint="eastAsia"/>
                <w:sz w:val="28"/>
                <w:szCs w:val="28"/>
              </w:rPr>
              <w:t>建物內</w:t>
            </w:r>
            <w:r w:rsidRPr="00835668">
              <w:rPr>
                <w:rFonts w:eastAsia="標楷體" w:hint="eastAsia"/>
                <w:noProof/>
                <w:sz w:val="28"/>
                <w:szCs w:val="28"/>
              </w:rPr>
              <w:t>之表內管及其相關零件之材質應符合標準。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檢查期限應明確。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檢查人員之資格為甲級或乙級專業人員。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明確收費項目之費用計算方式。</w:t>
            </w:r>
          </w:p>
          <w:p w:rsidR="003534D9" w:rsidRPr="00835668" w:rsidRDefault="003534D9" w:rsidP="003534D9">
            <w:pPr>
              <w:pStyle w:val="a3"/>
              <w:numPr>
                <w:ilvl w:val="0"/>
                <w:numId w:val="3"/>
              </w:numPr>
              <w:spacing w:beforeLines="30" w:before="108" w:line="360" w:lineRule="exact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檢查不合格用戶應敘明原因，並追蹤改善，保存紀錄。</w:t>
            </w:r>
          </w:p>
        </w:tc>
      </w:tr>
    </w:tbl>
    <w:p w:rsidR="003534D9" w:rsidRPr="00835668" w:rsidRDefault="003534D9" w:rsidP="003534D9">
      <w:pPr>
        <w:tabs>
          <w:tab w:val="left" w:pos="900"/>
        </w:tabs>
        <w:spacing w:afterLines="50" w:after="180" w:line="520" w:lineRule="exact"/>
        <w:ind w:left="181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lastRenderedPageBreak/>
        <w:t>（三）處分態樣</w:t>
      </w:r>
    </w:p>
    <w:tbl>
      <w:tblPr>
        <w:tblW w:w="9073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6722"/>
      </w:tblGrid>
      <w:tr w:rsidR="003534D9" w:rsidRPr="00835668" w:rsidTr="00147E36">
        <w:trPr>
          <w:trHeight w:val="1221"/>
        </w:trPr>
        <w:tc>
          <w:tcPr>
            <w:tcW w:w="2351" w:type="dxa"/>
            <w:vAlign w:val="center"/>
          </w:tcPr>
          <w:p w:rsidR="003534D9" w:rsidRPr="00835668" w:rsidRDefault="003534D9" w:rsidP="003534D9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6722" w:type="dxa"/>
            <w:vAlign w:val="center"/>
          </w:tcPr>
          <w:p w:rsidR="003534D9" w:rsidRPr="00835668" w:rsidRDefault="003534D9" w:rsidP="00147E36">
            <w:pPr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定期檢查事項文件內容，有不符規定者，限期於能源局發文日起二十一日內補正。</w:t>
            </w:r>
          </w:p>
        </w:tc>
      </w:tr>
      <w:tr w:rsidR="003534D9" w:rsidRPr="00835668" w:rsidTr="00147E36">
        <w:trPr>
          <w:trHeight w:val="1221"/>
        </w:trPr>
        <w:tc>
          <w:tcPr>
            <w:tcW w:w="2351" w:type="dxa"/>
            <w:vAlign w:val="center"/>
          </w:tcPr>
          <w:p w:rsidR="003534D9" w:rsidRPr="00835668" w:rsidRDefault="003534D9" w:rsidP="003534D9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否准辦理</w:t>
            </w:r>
          </w:p>
        </w:tc>
        <w:tc>
          <w:tcPr>
            <w:tcW w:w="6722" w:type="dxa"/>
            <w:vAlign w:val="center"/>
          </w:tcPr>
          <w:p w:rsidR="003534D9" w:rsidRPr="00835668" w:rsidRDefault="003534D9" w:rsidP="00147E36">
            <w:pPr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逾期未依規定補正者，否准辦理。</w:t>
            </w:r>
          </w:p>
        </w:tc>
      </w:tr>
      <w:tr w:rsidR="003534D9" w:rsidRPr="00835668" w:rsidTr="00147E36">
        <w:trPr>
          <w:trHeight w:val="1221"/>
        </w:trPr>
        <w:tc>
          <w:tcPr>
            <w:tcW w:w="2351" w:type="dxa"/>
            <w:vAlign w:val="center"/>
          </w:tcPr>
          <w:p w:rsidR="003534D9" w:rsidRPr="00835668" w:rsidRDefault="003534D9" w:rsidP="003534D9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核定辦理</w:t>
            </w:r>
          </w:p>
        </w:tc>
        <w:tc>
          <w:tcPr>
            <w:tcW w:w="6722" w:type="dxa"/>
            <w:vAlign w:val="center"/>
          </w:tcPr>
          <w:p w:rsidR="003534D9" w:rsidRPr="00835668" w:rsidRDefault="003534D9" w:rsidP="00147E36">
            <w:pPr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定期檢查事項文件符合規定者，核定辦理。</w:t>
            </w:r>
          </w:p>
        </w:tc>
      </w:tr>
    </w:tbl>
    <w:bookmarkEnd w:id="0"/>
    <w:p w:rsidR="003534D9" w:rsidRPr="00835668" w:rsidRDefault="003534D9" w:rsidP="003534D9">
      <w:pPr>
        <w:widowControl/>
        <w:rPr>
          <w:rFonts w:eastAsia="標楷體"/>
          <w:sz w:val="40"/>
          <w:szCs w:val="40"/>
        </w:rPr>
      </w:pPr>
      <w:r w:rsidRPr="00835668">
        <w:rPr>
          <w:rFonts w:eastAsia="標楷體"/>
          <w:noProof/>
          <w:sz w:val="40"/>
          <w:szCs w:val="40"/>
        </w:rPr>
        <w:lastRenderedPageBreak/>
        <w:drawing>
          <wp:inline distT="0" distB="0" distL="0" distR="0" wp14:anchorId="572D158D" wp14:editId="77A0A713">
            <wp:extent cx="6120130" cy="8751570"/>
            <wp:effectExtent l="0" t="0" r="0" b="0"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 家庭定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5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3534D9" w:rsidRPr="00835668" w:rsidSect="003534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D" w:rsidRDefault="003534D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3534D9">
      <w:rPr>
        <w:noProof/>
        <w:lang w:val="zh-TW"/>
      </w:rPr>
      <w:t>4</w:t>
    </w:r>
    <w:r>
      <w:fldChar w:fldCharType="end"/>
    </w:r>
  </w:p>
  <w:p w:rsidR="008A1EDD" w:rsidRDefault="003534D9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D2"/>
    <w:multiLevelType w:val="hybridMultilevel"/>
    <w:tmpl w:val="CF464FC2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CB07334"/>
    <w:multiLevelType w:val="hybridMultilevel"/>
    <w:tmpl w:val="2FF893E0"/>
    <w:lvl w:ilvl="0" w:tplc="C73821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3447446"/>
    <w:multiLevelType w:val="hybridMultilevel"/>
    <w:tmpl w:val="8C4E2AE2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  <w:rPr>
        <w:rFonts w:cs="Times New Roman"/>
      </w:rPr>
    </w:lvl>
  </w:abstractNum>
  <w:abstractNum w:abstractNumId="3">
    <w:nsid w:val="36214A7B"/>
    <w:multiLevelType w:val="hybridMultilevel"/>
    <w:tmpl w:val="1C88E20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EA63800"/>
    <w:multiLevelType w:val="hybridMultilevel"/>
    <w:tmpl w:val="23420FF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D9"/>
    <w:rsid w:val="003534D9"/>
    <w:rsid w:val="003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D9"/>
    <w:pPr>
      <w:ind w:leftChars="200" w:left="480"/>
    </w:pPr>
  </w:style>
  <w:style w:type="paragraph" w:styleId="a4">
    <w:name w:val="footer"/>
    <w:basedOn w:val="a"/>
    <w:link w:val="a5"/>
    <w:uiPriority w:val="99"/>
    <w:rsid w:val="0035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534D9"/>
    <w:rPr>
      <w:rFonts w:ascii="Times New Roman" w:eastAsia="新細明體" w:hAnsi="Times New Roman" w:cs="Times New Roman"/>
      <w:sz w:val="20"/>
      <w:szCs w:val="20"/>
    </w:rPr>
  </w:style>
  <w:style w:type="paragraph" w:customStyle="1" w:styleId="16">
    <w:name w:val="粗體16"/>
    <w:basedOn w:val="a"/>
    <w:uiPriority w:val="99"/>
    <w:semiHidden/>
    <w:rsid w:val="003534D9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3534D9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35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34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D9"/>
    <w:pPr>
      <w:ind w:leftChars="200" w:left="480"/>
    </w:pPr>
  </w:style>
  <w:style w:type="paragraph" w:styleId="a4">
    <w:name w:val="footer"/>
    <w:basedOn w:val="a"/>
    <w:link w:val="a5"/>
    <w:uiPriority w:val="99"/>
    <w:rsid w:val="0035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3534D9"/>
    <w:rPr>
      <w:rFonts w:ascii="Times New Roman" w:eastAsia="新細明體" w:hAnsi="Times New Roman" w:cs="Times New Roman"/>
      <w:sz w:val="20"/>
      <w:szCs w:val="20"/>
    </w:rPr>
  </w:style>
  <w:style w:type="paragraph" w:customStyle="1" w:styleId="16">
    <w:name w:val="粗體16"/>
    <w:basedOn w:val="a"/>
    <w:uiPriority w:val="99"/>
    <w:semiHidden/>
    <w:rsid w:val="003534D9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3534D9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35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3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506</Characters>
  <Application>Microsoft Office Word</Application>
  <DocSecurity>0</DocSecurity>
  <Lines>4</Lines>
  <Paragraphs>1</Paragraphs>
  <ScaleCrop>false</ScaleCrop>
  <Company>MOEABOE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boe</cp:lastModifiedBy>
  <cp:revision>1</cp:revision>
  <dcterms:created xsi:type="dcterms:W3CDTF">2019-10-31T04:00:00Z</dcterms:created>
  <dcterms:modified xsi:type="dcterms:W3CDTF">2019-10-31T04:00:00Z</dcterms:modified>
</cp:coreProperties>
</file>