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40"/>
          <w:szCs w:val="40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40"/>
          <w:szCs w:val="40"/>
        </w:rPr>
        <w:t>經濟部推動能源教育標竿獎作業要點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中華民國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95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年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6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月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13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日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經能字第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09504404321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號函 訂定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中華民國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105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年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12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月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20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日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經能字第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10504606340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號函 修正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中華民國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113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年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2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月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22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日</w:t>
      </w:r>
    </w:p>
    <w:p>
      <w:pPr>
        <w:pStyle w:val="Normal"/>
        <w:jc w:val="left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經能字第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sz w:val="24"/>
          <w:szCs w:val="24"/>
          <w:shd w:fill="auto" w:val="clear"/>
        </w:rPr>
        <w:t>11358000830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sz w:val="24"/>
          <w:szCs w:val="24"/>
          <w:shd w:fill="auto" w:val="clear"/>
        </w:rPr>
        <w:t>號函 修正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kern w:val="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經濟部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(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以下簡稱本部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)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為推動能源教育工作，提升國民中、小學生能源素養，設置經濟部推動能源教育標竿獎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(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以下簡稱本獎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)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，特訂定本要點。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本獎之相關執行作業，由本部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署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(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以下簡稱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署</w:t>
      </w:r>
      <w:r>
        <w:rPr>
          <w:rFonts w:eastAsia="標楷體;DF Kai Shu" w:cs="標楷體;DF Kai Shu" w:ascii="標楷體;DF Kai Shu" w:hAnsi="標楷體;DF Kai Shu"/>
          <w:b w:val="false"/>
          <w:bCs w:val="false"/>
          <w:color w:val="000000"/>
          <w:kern w:val="0"/>
          <w:sz w:val="32"/>
          <w:szCs w:val="32"/>
          <w:u w:val="none"/>
        </w:rPr>
        <w:t>)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辦理。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kern w:val="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本獎頒發之對象為依法設立之國民中、小學。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kern w:val="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本獎之獎項依國民中、小學推動能源教育具有卓越績效者，以全國區域分北、中、南、東等分組，每組得頒發「金獎」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獎座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一名；「銀獎」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獎座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二名。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rFonts w:ascii="標楷體;DF Kai Shu" w:hAnsi="標楷體;DF Kai Shu" w:eastAsia="標楷體;DF Kai Shu" w:cs="標楷體;DF Kai Shu"/>
          <w:b w:val="false"/>
          <w:b w:val="false"/>
          <w:bCs w:val="false"/>
          <w:color w:val="000000"/>
          <w:kern w:val="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本獎之評審如下：</w:t>
      </w:r>
    </w:p>
    <w:p>
      <w:pPr>
        <w:pStyle w:val="Normal"/>
        <w:tabs>
          <w:tab w:val="clear" w:pos="480"/>
          <w:tab w:val="left" w:pos="1080" w:leader="none"/>
        </w:tabs>
        <w:autoSpaceDE w:val="false"/>
        <w:snapToGrid w:val="false"/>
        <w:spacing w:lineRule="auto" w:line="300" w:before="165" w:after="57"/>
        <w:ind w:left="840" w:right="0" w:hanging="840"/>
        <w:jc w:val="both"/>
        <w:textAlignment w:val="baseline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（一）初審及複審：由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能源署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就專家指定總召集人一人，並由 總召集人邀請產官學研能源專家十一人至十七人，組成審查小組辦理之。</w:t>
      </w:r>
    </w:p>
    <w:p>
      <w:pPr>
        <w:pStyle w:val="Normal"/>
        <w:autoSpaceDE w:val="false"/>
        <w:snapToGrid w:val="false"/>
        <w:spacing w:lineRule="auto" w:line="300" w:before="165" w:after="57"/>
        <w:ind w:left="840" w:right="0" w:hanging="840"/>
        <w:jc w:val="both"/>
        <w:textAlignment w:val="baseline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（二）決審：由本部次長擔任召集人，邀請</w:t>
      </w:r>
      <w:r>
        <w:rPr>
          <w:rFonts w:ascii="標楷體" w:hAnsi="標楷體" w:cs="標楷體;DF Kai Shu" w:eastAsia="標楷體"/>
          <w:b w:val="false"/>
          <w:bCs w:val="false"/>
          <w:color w:val="000000"/>
          <w:kern w:val="0"/>
          <w:sz w:val="32"/>
          <w:szCs w:val="32"/>
          <w:u w:val="none"/>
        </w:rPr>
        <w:t>產業發展署、商業發展署、中小及新創企業署、能源署之首長</w:t>
      </w:r>
      <w:r>
        <w:rPr>
          <w:rFonts w:ascii="標楷體" w:hAnsi="標楷體" w:cs="標楷體;DF Kai Shu" w:eastAsia="標楷體"/>
          <w:b w:val="false"/>
          <w:bCs w:val="false"/>
          <w:color w:val="000000"/>
          <w:kern w:val="0"/>
          <w:sz w:val="32"/>
          <w:szCs w:val="32"/>
          <w:u w:val="none"/>
        </w:rPr>
        <w:t>、產業技術司之單位主管</w:t>
      </w:r>
      <w:r>
        <w:rPr>
          <w:rFonts w:eastAsia="標楷體;DF Kai Shu"/>
          <w:b w:val="false"/>
          <w:bCs w:val="false"/>
          <w:color w:val="000000"/>
          <w:sz w:val="32"/>
          <w:szCs w:val="32"/>
          <w:u w:val="none"/>
        </w:rPr>
        <w:t>、國家發展委員會、環境部、</w:t>
      </w:r>
      <w:r>
        <w:rPr>
          <w:rFonts w:ascii="Times New Roman" w:hAnsi="Times New Roman" w:cs="Times New Roman" w:eastAsia="標楷體;DF Kai Shu"/>
          <w:b w:val="false"/>
          <w:bCs w:val="false"/>
          <w:color w:val="000000"/>
          <w:kern w:val="2"/>
          <w:sz w:val="32"/>
          <w:szCs w:val="32"/>
          <w:u w:val="none"/>
          <w:lang w:val="en-US" w:eastAsia="zh-TW" w:bidi="ar-SA"/>
        </w:rPr>
        <w:t>教育部之代表及產學研能源專家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十三人至十五人，組成評審小組辦理之。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經前點評審獲本獎之國民中、小學，由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能源署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報請本部於公開場所頒獎表揚之。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jc w:val="both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本獎評選相關事宜委託法人或團體辦理時，由受委託執行單位研擬年度參選應備資料、評審基準、評選期程及相關事項，並提報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能源署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核定。</w:t>
      </w:r>
    </w:p>
    <w:p>
      <w:pPr>
        <w:pStyle w:val="Normal"/>
        <w:numPr>
          <w:ilvl w:val="0"/>
          <w:numId w:val="2"/>
        </w:numPr>
        <w:snapToGrid w:val="false"/>
        <w:spacing w:lineRule="auto" w:line="300" w:before="165" w:after="57"/>
        <w:rPr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本獎選拔表揚活動所需經費，由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  <w:lang w:val="en-US" w:eastAsia="zh-TW" w:bidi="ar-SA"/>
        </w:rPr>
        <w:t>能源署</w:t>
      </w:r>
      <w:r>
        <w:rPr>
          <w:rFonts w:ascii="標楷體;DF Kai Shu" w:hAnsi="標楷體;DF Kai Shu" w:cs="標楷體;DF Kai Shu" w:eastAsia="標楷體;DF Kai Shu"/>
          <w:b w:val="false"/>
          <w:bCs w:val="false"/>
          <w:color w:val="000000"/>
          <w:kern w:val="0"/>
          <w:sz w:val="32"/>
          <w:szCs w:val="32"/>
          <w:u w:val="none"/>
        </w:rPr>
        <w:t>編列年度預算支應。</w:t>
      </w:r>
    </w:p>
    <w:sectPr>
      <w:footerReference w:type="default" r:id="rId2"/>
      <w:type w:val="nextPage"/>
      <w:pgSz w:w="11906" w:h="16838"/>
      <w:pgMar w:left="1701" w:right="1418" w:gutter="0" w:header="0" w:top="1418" w:footer="964" w:bottom="1418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altName w:val="DF Kai Shu"/>
    <w:charset w:val="88"/>
    <w:family w:val="script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28"/>
        <w:kern w:val="0"/>
        <w:szCs w:val="28"/>
        <w:rFonts w:ascii="標楷體;DF Kai Shu" w:hAnsi="標楷體;DF Kai Shu" w:eastAsia="標楷體;DF Kai Shu" w:cs="標楷體;DF Kai Shu"/>
        <w:color w:val="auto"/>
        <w:lang w:val="en-US" w:eastAsia="zh-TW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bidi w:val="0"/>
      <w:snapToGrid w:val="false"/>
      <w:spacing w:lineRule="auto" w:line="300" w:before="108" w:after="0"/>
      <w:jc w:val="center"/>
      <w:outlineLvl w:val="0"/>
    </w:pPr>
    <w:rPr>
      <w:rFonts w:ascii="標楷體;DF Kai Shu" w:hAnsi="標楷體;DF Kai Shu" w:eastAsia="標楷體;DF Kai Shu" w:cs="標楷體;DF Kai Shu"/>
      <w:b/>
      <w:color w:val="000000"/>
      <w:kern w:val="2"/>
      <w:sz w:val="32"/>
      <w:szCs w:val="32"/>
      <w:lang w:val="zh-TW" w:eastAsia="zh-TW" w:bidi="ar-SA"/>
    </w:rPr>
  </w:style>
  <w:style w:type="paragraph" w:styleId="2">
    <w:name w:val="Heading 2"/>
    <w:basedOn w:val="Normal"/>
    <w:next w:val="Normal"/>
    <w:qFormat/>
    <w:pPr>
      <w:widowControl w:val="false"/>
      <w:numPr>
        <w:ilvl w:val="1"/>
        <w:numId w:val="1"/>
      </w:numPr>
      <w:bidi w:val="0"/>
      <w:spacing w:lineRule="exact" w:line="380" w:before="0" w:after="40"/>
      <w:jc w:val="both"/>
      <w:outlineLvl w:val="1"/>
    </w:pPr>
    <w:rPr>
      <w:rFonts w:ascii="標楷體;DF Kai Shu" w:hAnsi="標楷體;DF Kai Shu" w:eastAsia="標楷體;DF Kai Shu" w:cs="標楷體;DF Kai Shu"/>
      <w:b/>
      <w:color w:val="000000"/>
      <w:kern w:val="2"/>
      <w:sz w:val="28"/>
      <w:szCs w:val="28"/>
      <w:lang w:val="en-US" w:eastAsia="zh-TW" w:bidi="ar-SA"/>
    </w:rPr>
  </w:style>
  <w:style w:type="character" w:styleId="WW8Num1z0">
    <w:name w:val="WW8Num1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1">
    <w:name w:val="WW8Num1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2">
    <w:name w:val="WW8Num1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3">
    <w:name w:val="WW8Num1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4">
    <w:name w:val="WW8Num1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5">
    <w:name w:val="WW8Num1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6">
    <w:name w:val="WW8Num1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7">
    <w:name w:val="WW8Num1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8">
    <w:name w:val="WW8Num1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0">
    <w:name w:val="WW8Num2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1">
    <w:name w:val="WW8Num2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2">
    <w:name w:val="WW8Num2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3">
    <w:name w:val="WW8Num2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4">
    <w:name w:val="WW8Num2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5">
    <w:name w:val="WW8Num2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6">
    <w:name w:val="WW8Num2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7">
    <w:name w:val="WW8Num2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2z8">
    <w:name w:val="WW8Num2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0">
    <w:name w:val="WW8Num3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1">
    <w:name w:val="WW8Num3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2">
    <w:name w:val="WW8Num3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3">
    <w:name w:val="WW8Num3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4">
    <w:name w:val="WW8Num3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5">
    <w:name w:val="WW8Num3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6">
    <w:name w:val="WW8Num3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7">
    <w:name w:val="WW8Num3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3z8">
    <w:name w:val="WW8Num3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0">
    <w:name w:val="WW8Num4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1">
    <w:name w:val="WW8Num4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2">
    <w:name w:val="WW8Num4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3">
    <w:name w:val="WW8Num4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4">
    <w:name w:val="WW8Num4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5">
    <w:name w:val="WW8Num4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6">
    <w:name w:val="WW8Num4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7">
    <w:name w:val="WW8Num4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4z8">
    <w:name w:val="WW8Num4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0">
    <w:name w:val="WW8Num5z0"/>
    <w:qFormat/>
    <w:rPr>
      <w:rFonts w:ascii="標楷體;DF Kai Shu" w:hAnsi="標楷體;DF Kai Shu" w:eastAsia="標楷體;DF Kai Shu" w:cs="標楷體;DF Kai Shu"/>
      <w:color w:val="auto"/>
      <w:kern w:val="0"/>
      <w:sz w:val="28"/>
      <w:szCs w:val="28"/>
      <w:lang w:val="en-US" w:eastAsia="zh-TW" w:bidi="ar-SA"/>
    </w:rPr>
  </w:style>
  <w:style w:type="character" w:styleId="WW8Num5z1">
    <w:name w:val="WW8Num5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2">
    <w:name w:val="WW8Num5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3">
    <w:name w:val="WW8Num5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4">
    <w:name w:val="WW8Num5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5">
    <w:name w:val="WW8Num5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6">
    <w:name w:val="WW8Num5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7">
    <w:name w:val="WW8Num5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5z8">
    <w:name w:val="WW8Num5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0">
    <w:name w:val="WW8Num6z0"/>
    <w:qFormat/>
    <w:rPr>
      <w:rFonts w:ascii="Times New Roman" w:hAnsi="Times New Roman" w:eastAsia="新細明體;PMingLiU" w:cs="Times New Roman"/>
      <w:b w:val="false"/>
      <w:color w:val="auto"/>
      <w:kern w:val="2"/>
      <w:sz w:val="24"/>
      <w:szCs w:val="24"/>
      <w:lang w:val="en-US" w:eastAsia="zh-TW" w:bidi="ar-SA"/>
    </w:rPr>
  </w:style>
  <w:style w:type="character" w:styleId="WW8Num6z1">
    <w:name w:val="WW8Num6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2">
    <w:name w:val="WW8Num6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3">
    <w:name w:val="WW8Num6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4">
    <w:name w:val="WW8Num6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5">
    <w:name w:val="WW8Num6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6">
    <w:name w:val="WW8Num6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7">
    <w:name w:val="WW8Num6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6z8">
    <w:name w:val="WW8Num6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0">
    <w:name w:val="WW8Num7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1">
    <w:name w:val="WW8Num7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2">
    <w:name w:val="WW8Num7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3">
    <w:name w:val="WW8Num7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4">
    <w:name w:val="WW8Num7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5">
    <w:name w:val="WW8Num7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6">
    <w:name w:val="WW8Num7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7">
    <w:name w:val="WW8Num7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7z8">
    <w:name w:val="WW8Num7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0">
    <w:name w:val="WW8Num8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1">
    <w:name w:val="WW8Num8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2">
    <w:name w:val="WW8Num8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3">
    <w:name w:val="WW8Num8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4">
    <w:name w:val="WW8Num8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5">
    <w:name w:val="WW8Num8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6">
    <w:name w:val="WW8Num8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7">
    <w:name w:val="WW8Num8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8z8">
    <w:name w:val="WW8Num8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0">
    <w:name w:val="WW8Num9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1">
    <w:name w:val="WW8Num9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2">
    <w:name w:val="WW8Num9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3">
    <w:name w:val="WW8Num9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4">
    <w:name w:val="WW8Num9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5">
    <w:name w:val="WW8Num9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6">
    <w:name w:val="WW8Num9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7">
    <w:name w:val="WW8Num9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9z8">
    <w:name w:val="WW8Num9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0">
    <w:name w:val="WW8Num10z0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1">
    <w:name w:val="WW8Num10z1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2">
    <w:name w:val="WW8Num10z2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3">
    <w:name w:val="WW8Num10z3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4">
    <w:name w:val="WW8Num10z4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5">
    <w:name w:val="WW8Num10z5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6">
    <w:name w:val="WW8Num10z6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7">
    <w:name w:val="WW8Num10z7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0z8">
    <w:name w:val="WW8Num10z8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2">
    <w:name w:val="預設段落字型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3">
    <w:name w:val="頁首 字元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4">
    <w:name w:val="頁尾 字元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5">
    <w:name w:val="註解方塊文字 字元"/>
    <w:qFormat/>
    <w:rPr>
      <w:rFonts w:ascii="Cambria" w:hAnsi="Cambria" w:eastAsia="新細明體;PMingLiU" w:cs="Times New Roman"/>
      <w:color w:val="auto"/>
      <w:kern w:val="2"/>
      <w:sz w:val="18"/>
      <w:szCs w:val="18"/>
      <w:lang w:val="en-US" w:eastAsia="zh-TW" w:bidi="ar-SA"/>
    </w:rPr>
  </w:style>
  <w:style w:type="character" w:styleId="Style16">
    <w:name w:val="網際網路連結"/>
    <w:rPr>
      <w:rFonts w:ascii="Times New Roman" w:hAnsi="Times New Roman" w:eastAsia="新細明體;PMingLiU" w:cs="Times New Roman"/>
      <w:color w:val="0000FF"/>
      <w:kern w:val="2"/>
      <w:sz w:val="24"/>
      <w:szCs w:val="24"/>
      <w:u w:val="single"/>
      <w:lang w:val="en-US" w:eastAsia="zh-TW" w:bidi="ar-SA"/>
    </w:rPr>
  </w:style>
  <w:style w:type="character" w:styleId="Style17">
    <w:name w:val="日期 字元"/>
    <w:qFormat/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11">
    <w:name w:val="標題 1 字元"/>
    <w:qFormat/>
    <w:rPr>
      <w:rFonts w:ascii="標楷體;DF Kai Shu" w:hAnsi="標楷體;DF Kai Shu" w:eastAsia="標楷體;DF Kai Shu" w:cs="標楷體;DF Kai Shu"/>
      <w:b/>
      <w:color w:val="000000"/>
      <w:kern w:val="2"/>
      <w:sz w:val="32"/>
      <w:szCs w:val="32"/>
      <w:lang w:val="zh-TW" w:eastAsia="zh-TW" w:bidi="ar-SA"/>
    </w:rPr>
  </w:style>
  <w:style w:type="character" w:styleId="21">
    <w:name w:val="標題 2 字元"/>
    <w:qFormat/>
    <w:rPr>
      <w:rFonts w:ascii="標楷體;DF Kai Shu" w:hAnsi="標楷體;DF Kai Shu" w:eastAsia="標楷體;DF Kai Shu" w:cs="標楷體;DF Kai Shu"/>
      <w:b/>
      <w:color w:val="000000"/>
      <w:kern w:val="2"/>
      <w:sz w:val="28"/>
      <w:szCs w:val="28"/>
      <w:lang w:val="en-US" w:eastAsia="zh-TW" w:bidi="ar-SA"/>
    </w:rPr>
  </w:style>
  <w:style w:type="paragraph" w:styleId="Style18">
    <w:name w:val="標題"/>
    <w:basedOn w:val="Normal"/>
    <w:next w:val="Style19"/>
    <w:qFormat/>
    <w:pPr>
      <w:keepNext w:val="true"/>
      <w:widowControl w:val="false"/>
      <w:bidi w:val="0"/>
      <w:spacing w:before="240" w:after="120"/>
    </w:pPr>
    <w:rPr>
      <w:rFonts w:ascii="Liberation Sans" w:hAnsi="Liberation Sans" w:eastAsia="微軟正黑體" w:cs="Lucida Sans"/>
      <w:color w:val="auto"/>
      <w:kern w:val="2"/>
      <w:sz w:val="28"/>
      <w:szCs w:val="28"/>
      <w:lang w:val="en-US" w:eastAsia="zh-TW" w:bidi="ar-SA"/>
    </w:rPr>
  </w:style>
  <w:style w:type="paragraph" w:styleId="Style19">
    <w:name w:val="Body Text"/>
    <w:basedOn w:val="Normal"/>
    <w:pPr>
      <w:widowControl w:val="false"/>
      <w:bidi w:val="0"/>
      <w:spacing w:lineRule="auto" w:line="276" w:before="0" w:after="14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paragraph" w:styleId="Style20">
    <w:name w:val="List"/>
    <w:basedOn w:val="Style19"/>
    <w:pPr>
      <w:widowControl w:val="false"/>
      <w:bidi w:val="0"/>
    </w:pPr>
    <w:rPr>
      <w:rFonts w:ascii="Times New Roman" w:hAnsi="Times New Roman" w:eastAsia="新細明體;PMingLiU" w:cs="Lucida Sans"/>
      <w:color w:val="auto"/>
      <w:kern w:val="2"/>
      <w:sz w:val="24"/>
      <w:szCs w:val="24"/>
      <w:lang w:val="en-US" w:eastAsia="zh-TW" w:bidi="ar-SA"/>
    </w:rPr>
  </w:style>
  <w:style w:type="paragraph" w:styleId="Style21">
    <w:name w:val="Caption"/>
    <w:basedOn w:val="Normal"/>
    <w:qFormat/>
    <w:pPr>
      <w:widowControl w:val="false"/>
      <w:suppressLineNumbers/>
      <w:bidi w:val="0"/>
      <w:spacing w:before="120" w:after="120"/>
    </w:pPr>
    <w:rPr>
      <w:rFonts w:ascii="Times New Roman" w:hAnsi="Times New Roman" w:eastAsia="新細明體;PMingLiU" w:cs="Lucida Sans"/>
      <w:i/>
      <w:iCs/>
      <w:color w:val="auto"/>
      <w:kern w:val="2"/>
      <w:sz w:val="24"/>
      <w:szCs w:val="24"/>
      <w:lang w:val="en-US" w:eastAsia="zh-TW" w:bidi="ar-SA"/>
    </w:rPr>
  </w:style>
  <w:style w:type="paragraph" w:styleId="Style22">
    <w:name w:val="索引"/>
    <w:basedOn w:val="Normal"/>
    <w:qFormat/>
    <w:pPr>
      <w:widowControl w:val="false"/>
      <w:suppressLineNumbers/>
      <w:bidi w:val="0"/>
    </w:pPr>
    <w:rPr>
      <w:rFonts w:ascii="Times New Roman" w:hAnsi="Times New Roman" w:eastAsia="新細明體;PMingLiU" w:cs="Lucida Sans"/>
      <w:color w:val="auto"/>
      <w:kern w:val="2"/>
      <w:sz w:val="24"/>
      <w:szCs w:val="24"/>
      <w:lang w:val="en-US" w:eastAsia="zh-TW" w:bidi="ar-SA"/>
    </w:rPr>
  </w:style>
  <w:style w:type="paragraph" w:styleId="Style23">
    <w:name w:val="頁首與頁尾"/>
    <w:basedOn w:val="Normal"/>
    <w:qFormat/>
    <w:pPr>
      <w:widowControl w:val="false"/>
      <w:suppressLineNumbers/>
      <w:tabs>
        <w:tab w:val="clear" w:pos="480"/>
        <w:tab w:val="center" w:pos="4819" w:leader="none"/>
        <w:tab w:val="right" w:pos="9638" w:leader="none"/>
      </w:tabs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paragraph" w:styleId="Style24">
    <w:name w:val="Header"/>
    <w:basedOn w:val="Normal"/>
    <w:pPr>
      <w:widowControl w:val="false"/>
      <w:bidi w:val="0"/>
      <w:snapToGrid w:val="false"/>
    </w:pPr>
    <w:rPr>
      <w:rFonts w:ascii="Times New Roman" w:hAnsi="Times New Roman" w:eastAsia="新細明體;PMingLiU" w:cs="Times New Roman"/>
      <w:color w:val="auto"/>
      <w:kern w:val="2"/>
      <w:sz w:val="20"/>
      <w:szCs w:val="20"/>
      <w:lang w:val="en-US" w:eastAsia="zh-TW" w:bidi="ar-SA"/>
    </w:rPr>
  </w:style>
  <w:style w:type="paragraph" w:styleId="Style25">
    <w:name w:val="Footer"/>
    <w:basedOn w:val="Normal"/>
    <w:pPr>
      <w:widowControl w:val="false"/>
      <w:bidi w:val="0"/>
      <w:snapToGrid w:val="false"/>
    </w:pPr>
    <w:rPr>
      <w:rFonts w:ascii="Times New Roman" w:hAnsi="Times New Roman" w:eastAsia="新細明體;PMingLiU" w:cs="Times New Roman"/>
      <w:color w:val="auto"/>
      <w:kern w:val="2"/>
      <w:sz w:val="20"/>
      <w:szCs w:val="20"/>
      <w:lang w:val="en-US" w:eastAsia="zh-TW" w:bidi="ar-SA"/>
    </w:rPr>
  </w:style>
  <w:style w:type="paragraph" w:styleId="Style26">
    <w:name w:val="標文(一)"/>
    <w:basedOn w:val="Normal"/>
    <w:qFormat/>
    <w:pPr>
      <w:widowControl w:val="false"/>
      <w:autoSpaceDE w:val="false"/>
      <w:bidi w:val="0"/>
      <w:spacing w:lineRule="exact" w:line="520"/>
      <w:ind w:left="560" w:right="0" w:firstLine="559"/>
      <w:jc w:val="both"/>
    </w:pPr>
    <w:rPr>
      <w:rFonts w:ascii="Times New Roman" w:hAnsi="Times New Roman" w:eastAsia="全真楷書;新細明體" w:cs="Times New Roman"/>
      <w:color w:val="auto"/>
      <w:kern w:val="2"/>
      <w:sz w:val="28"/>
      <w:szCs w:val="20"/>
      <w:lang w:val="en-US" w:eastAsia="zh-TW" w:bidi="ar-SA"/>
    </w:rPr>
  </w:style>
  <w:style w:type="paragraph" w:styleId="Style27">
    <w:name w:val="註解方塊文字"/>
    <w:basedOn w:val="Normal"/>
    <w:qFormat/>
    <w:pPr>
      <w:widowControl w:val="false"/>
      <w:bidi w:val="0"/>
    </w:pPr>
    <w:rPr>
      <w:rFonts w:ascii="Cambria" w:hAnsi="Cambria" w:eastAsia="新細明體;PMingLiU" w:cs="Cambria"/>
      <w:color w:val="auto"/>
      <w:kern w:val="2"/>
      <w:sz w:val="18"/>
      <w:szCs w:val="18"/>
      <w:lang w:val="en-US" w:eastAsia="zh-TW" w:bidi="ar-SA"/>
    </w:rPr>
  </w:style>
  <w:style w:type="paragraph" w:styleId="Style28">
    <w:name w:val="日期"/>
    <w:basedOn w:val="Normal"/>
    <w:next w:val="Normal"/>
    <w:qFormat/>
    <w:pPr>
      <w:widowControl w:val="false"/>
      <w:bidi w:val="0"/>
      <w:jc w:val="right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MODA_ODF_Application_Tools/3.5.5.5.1$Windows_X86_64 LibreOffice_project/0731c5f9adee5daee576bb62a18f665a8d51cd0c</Application>
  <AppVersion>15.0000</AppVersion>
  <Pages>2</Pages>
  <Words>561</Words>
  <Characters>600</Characters>
  <CharactersWithSpaces>604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2024-01-09T10:02:00Z</dcterms:created>
  <dc:creator>energy</dc:creator>
  <dc:description/>
  <cp:keywords> </cp:keywords>
  <dc:language>zh-TW</dc:language>
  <cp:lastModifiedBy/>
  <cp:lastPrinted>2024-02-29T17:45:36Z</cp:lastPrinted>
  <dcterms:modified xsi:type="dcterms:W3CDTF">2024-03-04T14:31:11Z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1</vt:bool>
  </property>
</Properties>
</file>