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標楷體" w:hAnsi="標楷體" w:eastAsia="標楷體"/>
          <w:b/>
          <w:b/>
          <w:sz w:val="40"/>
          <w:szCs w:val="28"/>
        </w:rPr>
      </w:pPr>
      <w:r>
        <w:rPr>
          <w:rFonts w:eastAsia="標楷體" w:ascii="標楷體" w:hAnsi="標楷體"/>
          <w:b/>
          <w:sz w:val="40"/>
          <w:szCs w:val="28"/>
        </w:rPr>
        <w:t>108</w:t>
      </w:r>
      <w:r>
        <w:rPr>
          <w:rFonts w:ascii="標楷體" w:hAnsi="標楷體" w:eastAsia="標楷體"/>
          <w:b/>
          <w:sz w:val="40"/>
          <w:szCs w:val="28"/>
        </w:rPr>
        <w:t>年度廢熱與廢冷回收技術示範應用專案補助名單</w:t>
      </w:r>
    </w:p>
    <w:tbl>
      <w:tblPr>
        <w:tblW w:w="12224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4221"/>
        <w:gridCol w:w="3355"/>
        <w:gridCol w:w="1699"/>
        <w:gridCol w:w="2197"/>
      </w:tblGrid>
      <w:tr>
        <w:trPr>
          <w:trHeight w:val="70" w:hRule="atLeast"/>
        </w:trPr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360"/>
              <w:jc w:val="center"/>
              <w:rPr>
                <w:rFonts w:ascii="Times New Roman" w:hAnsi="Times New Roman" w:eastAsia="標楷體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 w:eastAsia="標楷體"/>
                <w:sz w:val="32"/>
                <w:szCs w:val="24"/>
              </w:rPr>
              <w:t>序號</w:t>
            </w:r>
          </w:p>
        </w:tc>
        <w:tc>
          <w:tcPr>
            <w:tcW w:w="4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360"/>
              <w:jc w:val="center"/>
              <w:rPr>
                <w:rFonts w:ascii="Times New Roman" w:hAnsi="Times New Roman" w:eastAsia="標楷體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 w:eastAsia="標楷體"/>
                <w:sz w:val="32"/>
                <w:szCs w:val="24"/>
              </w:rPr>
              <w:t>補助對象</w:t>
            </w:r>
          </w:p>
        </w:tc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360"/>
              <w:jc w:val="center"/>
              <w:rPr>
                <w:rFonts w:ascii="Times New Roman" w:hAnsi="Times New Roman" w:eastAsia="標楷體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 w:eastAsia="標楷體"/>
                <w:sz w:val="32"/>
                <w:szCs w:val="24"/>
              </w:rPr>
              <w:t>補助項目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360"/>
              <w:jc w:val="center"/>
              <w:rPr>
                <w:rFonts w:ascii="Times New Roman" w:hAnsi="Times New Roman" w:eastAsia="標楷體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 w:eastAsia="標楷體"/>
                <w:sz w:val="32"/>
                <w:szCs w:val="24"/>
              </w:rPr>
              <w:t>核定補助日期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360"/>
              <w:jc w:val="center"/>
              <w:rPr>
                <w:rFonts w:ascii="Times New Roman" w:hAnsi="Times New Roman" w:eastAsia="標楷體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 w:eastAsia="標楷體"/>
                <w:sz w:val="32"/>
                <w:szCs w:val="24"/>
              </w:rPr>
              <w:t>核定補助金額上限(元)</w:t>
            </w:r>
          </w:p>
        </w:tc>
      </w:tr>
      <w:tr>
        <w:trPr>
          <w:trHeight w:val="454" w:hRule="atLeast"/>
        </w:trPr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1</w:t>
            </w:r>
          </w:p>
        </w:tc>
        <w:tc>
          <w:tcPr>
            <w:tcW w:w="4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360"/>
              <w:rPr/>
            </w:pPr>
            <w:r>
              <w:rPr>
                <w:rFonts w:eastAsia="標楷體"/>
                <w:sz w:val="32"/>
                <w:szCs w:val="32"/>
              </w:rPr>
              <w:t>中興紡織股份有限公司</w:t>
            </w:r>
            <w:r>
              <w:rPr/>
              <w:t xml:space="preserve"> </w:t>
            </w:r>
          </w:p>
        </w:tc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360"/>
              <w:rPr>
                <w:rFonts w:ascii="Times New Roman" w:hAnsi="Times New Roman" w:eastAsia="標楷體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 w:eastAsia="標楷體"/>
                <w:sz w:val="32"/>
                <w:szCs w:val="24"/>
              </w:rPr>
              <w:t>吸收式廢熱製冷技術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標楷體" w:cs="Times New Roman"/>
                <w:sz w:val="32"/>
                <w:szCs w:val="24"/>
              </w:rPr>
            </w:pPr>
            <w:r>
              <w:rPr>
                <w:rFonts w:eastAsia="標楷體" w:cs="Times New Roman" w:ascii="Times New Roman" w:hAnsi="Times New Roman"/>
                <w:sz w:val="32"/>
                <w:szCs w:val="24"/>
              </w:rPr>
              <w:t>108.5.29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5,000,000</w:t>
            </w:r>
          </w:p>
        </w:tc>
      </w:tr>
      <w:tr>
        <w:trPr>
          <w:trHeight w:val="454" w:hRule="atLeast"/>
        </w:trPr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2</w:t>
            </w:r>
          </w:p>
        </w:tc>
        <w:tc>
          <w:tcPr>
            <w:tcW w:w="4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360"/>
              <w:rPr>
                <w:rFonts w:ascii="標楷體" w:hAnsi="標楷體" w:eastAsia="標楷體"/>
                <w:sz w:val="32"/>
              </w:rPr>
            </w:pPr>
            <w:r>
              <w:rPr>
                <w:rFonts w:ascii="標楷體" w:hAnsi="標楷體" w:eastAsia="標楷體"/>
                <w:sz w:val="32"/>
                <w:szCs w:val="32"/>
              </w:rPr>
              <w:t>台硝股份有限公司</w:t>
            </w:r>
            <w:r>
              <w:rPr>
                <w:rFonts w:ascii="標楷體" w:hAnsi="標楷體" w:eastAsia="標楷體"/>
                <w:sz w:val="32"/>
              </w:rPr>
              <w:t xml:space="preserve"> </w:t>
            </w:r>
          </w:p>
        </w:tc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360"/>
              <w:rPr>
                <w:rFonts w:ascii="Times New Roman" w:hAnsi="Times New Roman" w:eastAsia="標楷體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 w:eastAsia="標楷體"/>
                <w:sz w:val="32"/>
                <w:szCs w:val="24"/>
              </w:rPr>
              <w:t>有機朗肯循環廢熱回收發電技術</w:t>
            </w:r>
          </w:p>
          <w:p>
            <w:pPr>
              <w:pStyle w:val="Normal"/>
              <w:spacing w:lineRule="exact" w:line="360"/>
              <w:rPr>
                <w:rFonts w:ascii="Times New Roman" w:hAnsi="Times New Roman" w:eastAsia="標楷體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 w:eastAsia="標楷體"/>
                <w:sz w:val="32"/>
                <w:szCs w:val="24"/>
              </w:rPr>
              <w:t>其他廢熱回收技術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標楷體" w:cs="Times New Roman"/>
                <w:sz w:val="32"/>
                <w:szCs w:val="24"/>
              </w:rPr>
            </w:pPr>
            <w:r>
              <w:rPr>
                <w:rFonts w:eastAsia="標楷體" w:cs="Times New Roman" w:ascii="Times New Roman" w:hAnsi="Times New Roman"/>
                <w:sz w:val="32"/>
                <w:szCs w:val="24"/>
              </w:rPr>
              <w:t>108.5.29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3,243,000</w:t>
            </w:r>
          </w:p>
        </w:tc>
      </w:tr>
      <w:tr>
        <w:trPr>
          <w:trHeight w:val="454" w:hRule="atLeast"/>
        </w:trPr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3</w:t>
            </w:r>
          </w:p>
        </w:tc>
        <w:tc>
          <w:tcPr>
            <w:tcW w:w="4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360"/>
              <w:rPr>
                <w:rFonts w:ascii="標楷體" w:hAnsi="標楷體" w:eastAsia="標楷體"/>
                <w:sz w:val="32"/>
              </w:rPr>
            </w:pPr>
            <w:r>
              <w:rPr>
                <w:rFonts w:ascii="標楷體" w:hAnsi="標楷體" w:eastAsia="標楷體"/>
                <w:sz w:val="32"/>
                <w:szCs w:val="32"/>
              </w:rPr>
              <w:t>台灣百事食品股份有限公司</w:t>
            </w:r>
            <w:r>
              <w:rPr>
                <w:rFonts w:ascii="標楷體" w:hAnsi="標楷體" w:eastAsia="標楷體"/>
                <w:sz w:val="32"/>
              </w:rPr>
              <w:t xml:space="preserve"> </w:t>
            </w:r>
          </w:p>
        </w:tc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360"/>
              <w:rPr>
                <w:rFonts w:ascii="Times New Roman" w:hAnsi="Times New Roman" w:eastAsia="標楷體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 w:eastAsia="標楷體"/>
                <w:sz w:val="32"/>
                <w:szCs w:val="24"/>
              </w:rPr>
              <w:t>吸收式廢熱製冷技術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標楷體" w:cs="Times New Roman"/>
                <w:sz w:val="32"/>
                <w:szCs w:val="24"/>
              </w:rPr>
            </w:pPr>
            <w:r>
              <w:rPr>
                <w:rFonts w:eastAsia="標楷體" w:cs="Times New Roman" w:ascii="Times New Roman" w:hAnsi="Times New Roman"/>
                <w:sz w:val="32"/>
                <w:szCs w:val="24"/>
              </w:rPr>
              <w:t>108.5.29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5,000,000</w:t>
            </w:r>
          </w:p>
        </w:tc>
      </w:tr>
      <w:tr>
        <w:trPr>
          <w:trHeight w:val="454" w:hRule="atLeast"/>
        </w:trPr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4</w:t>
            </w:r>
          </w:p>
        </w:tc>
        <w:tc>
          <w:tcPr>
            <w:tcW w:w="4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360"/>
              <w:rPr>
                <w:rFonts w:ascii="標楷體" w:hAnsi="標楷體" w:eastAsia="標楷體"/>
                <w:sz w:val="32"/>
              </w:rPr>
            </w:pPr>
            <w:r>
              <w:rPr>
                <w:rFonts w:ascii="標楷體" w:hAnsi="標楷體" w:eastAsia="標楷體"/>
                <w:sz w:val="32"/>
                <w:szCs w:val="32"/>
              </w:rPr>
              <w:t>南亞塑膠工業股份有限公司(乙二醇四廠)</w:t>
            </w:r>
            <w:r>
              <w:rPr>
                <w:rFonts w:ascii="標楷體" w:hAnsi="標楷體" w:eastAsia="標楷體"/>
                <w:sz w:val="32"/>
              </w:rPr>
              <w:t xml:space="preserve"> </w:t>
            </w:r>
          </w:p>
        </w:tc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360"/>
              <w:rPr>
                <w:rFonts w:ascii="Times New Roman" w:hAnsi="Times New Roman" w:eastAsia="標楷體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 w:eastAsia="標楷體"/>
                <w:sz w:val="32"/>
                <w:szCs w:val="24"/>
              </w:rPr>
              <w:t>有機朗肯循環廢熱回收發電技術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標楷體" w:cs="Times New Roman"/>
                <w:sz w:val="32"/>
                <w:szCs w:val="24"/>
              </w:rPr>
            </w:pPr>
            <w:r>
              <w:rPr>
                <w:rFonts w:eastAsia="標楷體" w:cs="Times New Roman" w:ascii="Times New Roman" w:hAnsi="Times New Roman"/>
                <w:sz w:val="32"/>
                <w:szCs w:val="24"/>
              </w:rPr>
              <w:t>108.5.29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5,000,000</w:t>
            </w:r>
          </w:p>
        </w:tc>
      </w:tr>
      <w:tr>
        <w:trPr>
          <w:trHeight w:val="454" w:hRule="atLeast"/>
        </w:trPr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5</w:t>
            </w:r>
          </w:p>
        </w:tc>
        <w:tc>
          <w:tcPr>
            <w:tcW w:w="4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360"/>
              <w:rPr>
                <w:rFonts w:ascii="標楷體" w:hAnsi="標楷體" w:eastAsia="標楷體"/>
                <w:sz w:val="32"/>
              </w:rPr>
            </w:pPr>
            <w:r>
              <w:rPr>
                <w:rFonts w:ascii="標楷體" w:hAnsi="標楷體" w:eastAsia="標楷體"/>
                <w:sz w:val="32"/>
                <w:szCs w:val="32"/>
              </w:rPr>
              <w:t>野熊科技有限公司</w:t>
            </w:r>
            <w:r>
              <w:rPr>
                <w:rFonts w:ascii="標楷體" w:hAnsi="標楷體" w:eastAsia="標楷體"/>
                <w:sz w:val="32"/>
              </w:rPr>
              <w:t xml:space="preserve"> </w:t>
            </w:r>
          </w:p>
        </w:tc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360"/>
              <w:rPr>
                <w:rFonts w:ascii="Times New Roman" w:hAnsi="Times New Roman" w:eastAsia="標楷體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 w:eastAsia="標楷體"/>
                <w:sz w:val="32"/>
                <w:szCs w:val="24"/>
              </w:rPr>
              <w:t>其他廢熱回收技術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標楷體" w:cs="Times New Roman"/>
                <w:sz w:val="32"/>
                <w:szCs w:val="24"/>
              </w:rPr>
            </w:pPr>
            <w:r>
              <w:rPr>
                <w:rFonts w:eastAsia="標楷體" w:cs="Times New Roman" w:ascii="Times New Roman" w:hAnsi="Times New Roman"/>
                <w:sz w:val="32"/>
                <w:szCs w:val="24"/>
              </w:rPr>
              <w:t>108.5.29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2,412,000</w:t>
            </w:r>
          </w:p>
        </w:tc>
      </w:tr>
      <w:tr>
        <w:trPr>
          <w:trHeight w:val="454" w:hRule="atLeast"/>
        </w:trPr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6</w:t>
            </w:r>
          </w:p>
        </w:tc>
        <w:tc>
          <w:tcPr>
            <w:tcW w:w="4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360"/>
              <w:rPr>
                <w:rFonts w:ascii="標楷體" w:hAnsi="標楷體" w:eastAsia="標楷體"/>
                <w:sz w:val="32"/>
              </w:rPr>
            </w:pPr>
            <w:r>
              <w:rPr>
                <w:rFonts w:ascii="標楷體" w:hAnsi="標楷體" w:eastAsia="標楷體"/>
                <w:sz w:val="32"/>
              </w:rPr>
              <w:t>台灣塑膠工業股份有限公司台麗朗事業部麥寮</w:t>
            </w:r>
            <w:r>
              <w:rPr>
                <w:rFonts w:eastAsia="標楷體" w:ascii="標楷體" w:hAnsi="標楷體"/>
                <w:sz w:val="32"/>
              </w:rPr>
              <w:t>SAP</w:t>
            </w:r>
            <w:r>
              <w:rPr>
                <w:rFonts w:ascii="標楷體" w:hAnsi="標楷體" w:eastAsia="標楷體"/>
                <w:sz w:val="32"/>
              </w:rPr>
              <w:t>廠</w:t>
            </w:r>
          </w:p>
        </w:tc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360"/>
              <w:rPr>
                <w:rFonts w:ascii="Times New Roman" w:hAnsi="Times New Roman" w:eastAsia="標楷體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 w:eastAsia="標楷體"/>
                <w:sz w:val="32"/>
                <w:szCs w:val="24"/>
              </w:rPr>
              <w:t>有機朗肯循環廢熱回收發電技術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標楷體" w:cs="Times New Roman"/>
                <w:sz w:val="32"/>
                <w:szCs w:val="24"/>
              </w:rPr>
            </w:pPr>
            <w:r>
              <w:rPr>
                <w:rFonts w:eastAsia="標楷體" w:cs="Times New Roman" w:ascii="Times New Roman" w:hAnsi="Times New Roman"/>
                <w:sz w:val="32"/>
                <w:szCs w:val="24"/>
              </w:rPr>
              <w:t>108.7.11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2,025,000</w:t>
            </w:r>
          </w:p>
        </w:tc>
      </w:tr>
      <w:tr>
        <w:trPr>
          <w:trHeight w:val="454" w:hRule="atLeast"/>
        </w:trPr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7</w:t>
            </w:r>
          </w:p>
        </w:tc>
        <w:tc>
          <w:tcPr>
            <w:tcW w:w="4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360"/>
              <w:rPr>
                <w:rFonts w:ascii="標楷體" w:hAnsi="標楷體" w:eastAsia="標楷體"/>
                <w:sz w:val="32"/>
              </w:rPr>
            </w:pPr>
            <w:r>
              <w:rPr>
                <w:rFonts w:ascii="標楷體" w:hAnsi="標楷體" w:eastAsia="標楷體"/>
                <w:sz w:val="32"/>
              </w:rPr>
              <w:t>恆峰工業股份有限公司</w:t>
            </w:r>
          </w:p>
        </w:tc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360"/>
              <w:rPr>
                <w:rFonts w:ascii="Times New Roman" w:hAnsi="Times New Roman" w:eastAsia="標楷體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 w:eastAsia="標楷體"/>
                <w:sz w:val="32"/>
                <w:szCs w:val="24"/>
              </w:rPr>
              <w:t>蓄熱式燃燒技術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360"/>
              <w:jc w:val="center"/>
              <w:rPr>
                <w:rFonts w:ascii="Times New Roman" w:hAnsi="Times New Roman" w:eastAsia="標楷體" w:cs="Times New Roman"/>
                <w:sz w:val="32"/>
                <w:szCs w:val="24"/>
              </w:rPr>
            </w:pPr>
            <w:r>
              <w:rPr>
                <w:rFonts w:eastAsia="標楷體" w:cs="Times New Roman" w:ascii="Times New Roman" w:hAnsi="Times New Roman"/>
                <w:sz w:val="32"/>
                <w:szCs w:val="24"/>
              </w:rPr>
              <w:t>108.7.11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2,737,000</w:t>
            </w:r>
          </w:p>
        </w:tc>
      </w:tr>
      <w:tr>
        <w:trPr>
          <w:trHeight w:val="454" w:hRule="atLeast"/>
        </w:trPr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8</w:t>
            </w:r>
          </w:p>
        </w:tc>
        <w:tc>
          <w:tcPr>
            <w:tcW w:w="4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360"/>
              <w:rPr>
                <w:rFonts w:ascii="標楷體" w:hAnsi="標楷體" w:eastAsia="標楷體"/>
                <w:sz w:val="32"/>
              </w:rPr>
            </w:pPr>
            <w:r>
              <w:rPr>
                <w:rFonts w:ascii="標楷體" w:hAnsi="標楷體" w:eastAsia="標楷體"/>
                <w:sz w:val="32"/>
              </w:rPr>
              <w:t>昱美包裝事業股份有限公司</w:t>
            </w:r>
          </w:p>
        </w:tc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360"/>
              <w:rPr>
                <w:rFonts w:ascii="Times New Roman" w:hAnsi="Times New Roman" w:eastAsia="標楷體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 w:eastAsia="標楷體"/>
                <w:sz w:val="32"/>
                <w:szCs w:val="24"/>
              </w:rPr>
              <w:t>蓄熱式燃燒技術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標楷體" w:cs="Times New Roman"/>
                <w:sz w:val="32"/>
                <w:szCs w:val="24"/>
              </w:rPr>
            </w:pPr>
            <w:r>
              <w:rPr>
                <w:rFonts w:eastAsia="標楷體" w:cs="Times New Roman" w:ascii="Times New Roman" w:hAnsi="Times New Roman"/>
                <w:sz w:val="32"/>
                <w:szCs w:val="24"/>
              </w:rPr>
              <w:t>108.7.11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5,000,000</w:t>
            </w:r>
          </w:p>
        </w:tc>
      </w:tr>
      <w:tr>
        <w:trPr>
          <w:trHeight w:val="454" w:hRule="atLeast"/>
        </w:trPr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9</w:t>
            </w:r>
          </w:p>
        </w:tc>
        <w:tc>
          <w:tcPr>
            <w:tcW w:w="4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360"/>
              <w:rPr>
                <w:rFonts w:ascii="標楷體" w:hAnsi="標楷體" w:eastAsia="標楷體"/>
                <w:sz w:val="32"/>
              </w:rPr>
            </w:pPr>
            <w:r>
              <w:rPr>
                <w:rFonts w:ascii="標楷體" w:hAnsi="標楷體" w:eastAsia="標楷體"/>
                <w:sz w:val="32"/>
              </w:rPr>
              <w:t>勤旺輕金屬科技股份有限公司</w:t>
            </w:r>
          </w:p>
        </w:tc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360"/>
              <w:rPr>
                <w:rFonts w:ascii="Times New Roman" w:hAnsi="Times New Roman" w:eastAsia="標楷體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 w:eastAsia="標楷體"/>
                <w:sz w:val="32"/>
                <w:szCs w:val="24"/>
              </w:rPr>
              <w:t>蓄熱式燃燒技術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標楷體" w:cs="Times New Roman"/>
                <w:sz w:val="32"/>
                <w:szCs w:val="24"/>
              </w:rPr>
            </w:pPr>
            <w:r>
              <w:rPr>
                <w:rFonts w:eastAsia="標楷體" w:cs="Times New Roman" w:ascii="Times New Roman" w:hAnsi="Times New Roman"/>
                <w:sz w:val="32"/>
                <w:szCs w:val="24"/>
              </w:rPr>
              <w:t>108.7.11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2,557,000</w:t>
            </w:r>
          </w:p>
        </w:tc>
      </w:tr>
      <w:tr>
        <w:trPr>
          <w:trHeight w:val="454" w:hRule="atLeast"/>
        </w:trPr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10</w:t>
            </w:r>
          </w:p>
        </w:tc>
        <w:tc>
          <w:tcPr>
            <w:tcW w:w="4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360"/>
              <w:rPr>
                <w:rFonts w:ascii="標楷體" w:hAnsi="標楷體" w:eastAsia="標楷體"/>
                <w:sz w:val="32"/>
                <w:szCs w:val="32"/>
              </w:rPr>
            </w:pPr>
            <w:r>
              <w:rPr>
                <w:rFonts w:ascii="標楷體" w:hAnsi="標楷體" w:eastAsia="標楷體"/>
                <w:color w:val="000000"/>
                <w:sz w:val="32"/>
                <w:szCs w:val="32"/>
              </w:rPr>
              <w:t>達和環保服務股份有限公司</w:t>
            </w:r>
            <w:r>
              <w:rPr>
                <w:rFonts w:ascii="標楷體" w:hAnsi="標楷體" w:eastAsia="標楷體"/>
                <w:sz w:val="32"/>
                <w:szCs w:val="32"/>
              </w:rPr>
              <w:t xml:space="preserve"> </w:t>
            </w:r>
          </w:p>
        </w:tc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360"/>
              <w:rPr>
                <w:rFonts w:ascii="Times New Roman" w:hAnsi="Times New Roman" w:eastAsia="標楷體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 w:eastAsia="標楷體"/>
                <w:sz w:val="32"/>
                <w:szCs w:val="24"/>
              </w:rPr>
              <w:t>吸收式廢熱製冷技術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標楷體" w:cs="Times New Roman"/>
                <w:sz w:val="32"/>
                <w:szCs w:val="24"/>
              </w:rPr>
            </w:pPr>
            <w:r>
              <w:rPr>
                <w:rFonts w:eastAsia="標楷體" w:cs="Times New Roman" w:ascii="Times New Roman" w:hAnsi="Times New Roman"/>
                <w:sz w:val="32"/>
                <w:szCs w:val="24"/>
              </w:rPr>
              <w:t>108.7.11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4,386,000</w:t>
            </w:r>
          </w:p>
        </w:tc>
      </w:tr>
      <w:tr>
        <w:trPr>
          <w:trHeight w:val="454" w:hRule="atLeast"/>
        </w:trPr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11</w:t>
            </w:r>
          </w:p>
        </w:tc>
        <w:tc>
          <w:tcPr>
            <w:tcW w:w="4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360"/>
              <w:rPr>
                <w:rFonts w:ascii="標楷體" w:hAnsi="標楷體" w:eastAsia="標楷體"/>
                <w:sz w:val="32"/>
                <w:szCs w:val="32"/>
              </w:rPr>
            </w:pPr>
            <w:r>
              <w:rPr>
                <w:rFonts w:ascii="標楷體" w:hAnsi="標楷體" w:eastAsia="標楷體"/>
                <w:color w:val="000000"/>
                <w:sz w:val="32"/>
                <w:szCs w:val="32"/>
              </w:rPr>
              <w:t>日月光半導體製造股份有限公司(</w:t>
            </w:r>
            <w:r>
              <w:rPr>
                <w:rFonts w:eastAsia="標楷體" w:ascii="Times New Roman;serif" w:hAnsi="Times New Roman;serif"/>
                <w:color w:val="000000"/>
                <w:sz w:val="32"/>
                <w:szCs w:val="32"/>
                <w:lang w:val="en-US"/>
              </w:rPr>
              <w:t>K21)</w:t>
            </w:r>
            <w:r>
              <w:rPr>
                <w:rFonts w:eastAsia="標楷體" w:ascii="標楷體" w:hAnsi="標楷體"/>
                <w:sz w:val="32"/>
                <w:szCs w:val="32"/>
              </w:rPr>
              <w:t xml:space="preserve"> </w:t>
            </w:r>
          </w:p>
        </w:tc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360"/>
              <w:rPr>
                <w:rFonts w:ascii="Times New Roman" w:hAnsi="Times New Roman" w:eastAsia="標楷體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 w:eastAsia="標楷體"/>
                <w:sz w:val="32"/>
                <w:szCs w:val="24"/>
              </w:rPr>
              <w:t>其他廢熱回收技術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標楷體" w:cs="Times New Roman"/>
                <w:sz w:val="32"/>
                <w:szCs w:val="24"/>
              </w:rPr>
            </w:pPr>
            <w:r>
              <w:rPr>
                <w:rFonts w:eastAsia="標楷體" w:cs="Times New Roman" w:ascii="Times New Roman" w:hAnsi="Times New Roman"/>
                <w:sz w:val="32"/>
                <w:szCs w:val="24"/>
              </w:rPr>
              <w:t>108.8.12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1,238,000</w:t>
            </w:r>
          </w:p>
        </w:tc>
      </w:tr>
      <w:tr>
        <w:trPr>
          <w:trHeight w:val="454" w:hRule="atLeast"/>
        </w:trPr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12</w:t>
            </w:r>
          </w:p>
        </w:tc>
        <w:tc>
          <w:tcPr>
            <w:tcW w:w="4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360"/>
              <w:rPr>
                <w:rFonts w:ascii="標楷體" w:hAnsi="標楷體" w:eastAsia="標楷體"/>
                <w:sz w:val="32"/>
              </w:rPr>
            </w:pPr>
            <w:r>
              <w:rPr>
                <w:rFonts w:ascii="標楷體" w:hAnsi="標楷體" w:eastAsia="標楷體"/>
                <w:color w:val="000000"/>
                <w:sz w:val="32"/>
                <w:szCs w:val="32"/>
              </w:rPr>
              <w:t>中國石油化學工業開發股份有限公司大社廠</w:t>
            </w:r>
            <w:r>
              <w:rPr>
                <w:rFonts w:ascii="標楷體" w:hAnsi="標楷體" w:eastAsia="標楷體"/>
                <w:sz w:val="32"/>
              </w:rPr>
              <w:t xml:space="preserve"> </w:t>
            </w:r>
          </w:p>
        </w:tc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360"/>
              <w:rPr>
                <w:rFonts w:ascii="Times New Roman" w:hAnsi="Times New Roman" w:eastAsia="標楷體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 w:eastAsia="標楷體"/>
                <w:sz w:val="32"/>
                <w:szCs w:val="24"/>
              </w:rPr>
              <w:t>有機朗肯循環廢熱回收發電技術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標楷體" w:cs="Times New Roman"/>
                <w:sz w:val="32"/>
                <w:szCs w:val="24"/>
              </w:rPr>
            </w:pPr>
            <w:r>
              <w:rPr>
                <w:rFonts w:eastAsia="標楷體" w:cs="Times New Roman" w:ascii="Times New Roman" w:hAnsi="Times New Roman"/>
                <w:sz w:val="32"/>
                <w:szCs w:val="24"/>
              </w:rPr>
              <w:t>108.8.12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5,000,000</w:t>
            </w:r>
          </w:p>
        </w:tc>
      </w:tr>
      <w:tr>
        <w:trPr>
          <w:trHeight w:val="454" w:hRule="atLeast"/>
        </w:trPr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13</w:t>
            </w:r>
          </w:p>
        </w:tc>
        <w:tc>
          <w:tcPr>
            <w:tcW w:w="4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360"/>
              <w:rPr>
                <w:rFonts w:ascii="標楷體" w:hAnsi="標楷體" w:eastAsia="標楷體"/>
                <w:sz w:val="32"/>
              </w:rPr>
            </w:pPr>
            <w:r>
              <w:rPr>
                <w:rFonts w:ascii="標楷體" w:hAnsi="標楷體" w:eastAsia="標楷體"/>
                <w:color w:val="000000"/>
                <w:sz w:val="32"/>
                <w:szCs w:val="32"/>
              </w:rPr>
              <w:t>佑泰包裝科技股份有限公司</w:t>
            </w:r>
            <w:r>
              <w:rPr>
                <w:rFonts w:ascii="標楷體" w:hAnsi="標楷體" w:eastAsia="標楷體"/>
                <w:sz w:val="32"/>
              </w:rPr>
              <w:t xml:space="preserve"> </w:t>
            </w:r>
          </w:p>
        </w:tc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360"/>
              <w:rPr>
                <w:rFonts w:ascii="Times New Roman" w:hAnsi="Times New Roman" w:eastAsia="標楷體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 w:eastAsia="標楷體"/>
                <w:sz w:val="32"/>
                <w:szCs w:val="24"/>
              </w:rPr>
              <w:t>蓄熱式燃燒技術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標楷體" w:cs="Times New Roman"/>
                <w:sz w:val="32"/>
                <w:szCs w:val="24"/>
              </w:rPr>
            </w:pPr>
            <w:r>
              <w:rPr>
                <w:rFonts w:eastAsia="標楷體" w:cs="Times New Roman" w:ascii="Times New Roman" w:hAnsi="Times New Roman"/>
                <w:sz w:val="32"/>
                <w:szCs w:val="24"/>
              </w:rPr>
              <w:t>108.8.12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5,000,000</w:t>
            </w:r>
          </w:p>
        </w:tc>
      </w:tr>
    </w:tbl>
    <w:p>
      <w:pPr>
        <w:pStyle w:val="ListParagraph"/>
        <w:spacing w:lineRule="exact" w:line="360"/>
        <w:rPr/>
      </w:pPr>
      <w:r>
        <w:rPr/>
      </w:r>
    </w:p>
    <w:sectPr>
      <w:type w:val="nextPage"/>
      <w:pgSz w:orient="landscape" w:w="16838" w:h="11906"/>
      <w:pgMar w:left="1440" w:right="1440" w:header="0" w:top="709" w:footer="0" w:bottom="993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8"/>
    <w:family w:val="roman"/>
    <w:pitch w:val="variable"/>
  </w:font>
  <w:font w:name="Calibri">
    <w:charset w:val="88"/>
    <w:family w:val="roman"/>
    <w:pitch w:val="variable"/>
  </w:font>
  <w:font w:name="Liberation Sans">
    <w:altName w:val="Arial"/>
    <w:charset w:val="88"/>
    <w:family w:val="swiss"/>
    <w:pitch w:val="variable"/>
  </w:font>
  <w:font w:name="標楷體">
    <w:charset w:val="88"/>
    <w:family w:val="roman"/>
    <w:pitch w:val="variable"/>
  </w:font>
  <w:font w:name="Times New Roman">
    <w:charset w:val="88"/>
    <w:family w:val="roman"/>
    <w:pitch w:val="variable"/>
  </w:font>
  <w:font w:name="Times New Roman">
    <w:altName w:val="serif"/>
    <w:charset w:val="88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48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新細明體" w:cs="Tahoma"/>
        <w:sz w:val="24"/>
        <w:szCs w:val="22"/>
        <w:lang w:val="en-US" w:eastAsia="zh-TW" w:bidi="ar-SA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  <w:jc w:val="left"/>
    </w:pPr>
    <w:rPr>
      <w:rFonts w:ascii="Calibri" w:hAnsi="Calibri" w:eastAsia="新細明體" w:cs="Tahoma"/>
      <w:color w:val="auto"/>
      <w:sz w:val="24"/>
      <w:szCs w:val="22"/>
      <w:lang w:val="en-US" w:eastAsia="zh-TW" w:bidi="ar-SA"/>
    </w:rPr>
  </w:style>
  <w:style w:type="character" w:styleId="DefaultParagraphFont">
    <w:name w:val="Default Paragraph Font"/>
    <w:qFormat/>
    <w:rPr/>
  </w:style>
  <w:style w:type="character" w:styleId="Style14">
    <w:name w:val="頁首 字元"/>
    <w:basedOn w:val="DefaultParagraphFont"/>
    <w:qFormat/>
    <w:rPr>
      <w:sz w:val="20"/>
      <w:szCs w:val="20"/>
    </w:rPr>
  </w:style>
  <w:style w:type="character" w:styleId="Style15">
    <w:name w:val="頁尾 字元"/>
    <w:basedOn w:val="DefaultParagraphFont"/>
    <w:qFormat/>
    <w:rPr>
      <w:sz w:val="20"/>
      <w:szCs w:val="20"/>
    </w:rPr>
  </w:style>
  <w:style w:type="paragraph" w:styleId="Style16">
    <w:name w:val="標題"/>
    <w:basedOn w:val="Normal"/>
    <w:next w:val="Style17"/>
    <w:qFormat/>
    <w:pPr>
      <w:keepNext/>
      <w:spacing w:before="240" w:after="120"/>
    </w:pPr>
    <w:rPr>
      <w:rFonts w:ascii="Liberation Sans" w:hAnsi="Liberation Sans" w:eastAsia="微軟正黑體" w:cs="Mang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索引"/>
    <w:basedOn w:val="Normal"/>
    <w:qFormat/>
    <w:pPr>
      <w:suppressLineNumbers/>
    </w:pPr>
    <w:rPr>
      <w:rFonts w:cs="Mangal"/>
    </w:rPr>
  </w:style>
  <w:style w:type="paragraph" w:styleId="Style21">
    <w:name w:val="Header"/>
    <w:basedOn w:val="Normal"/>
    <w:pPr>
      <w:tabs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Style22">
    <w:name w:val="Footer"/>
    <w:basedOn w:val="Normal"/>
    <w:pPr>
      <w:tabs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ListParagraph">
    <w:name w:val="List Paragraph"/>
    <w:basedOn w:val="Normal"/>
    <w:qFormat/>
    <w:pPr>
      <w:ind w:left="480" w:right="0" w:hanging="0"/>
    </w:pPr>
    <w:rPr/>
  </w:style>
  <w:style w:type="paragraph" w:styleId="Style23">
    <w:name w:val="表格內容"/>
    <w:basedOn w:val="Normal"/>
    <w:qFormat/>
    <w:pPr/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Application>NDC_ODF_Application_Tools/1.0.3$Windows_x86 LibreOffice_project/8ad3e16aadc5e73175a2d44b1abec8638aa18880</Application>
  <Pages>1</Pages>
  <Words>395</Words>
  <Characters>602</Characters>
  <CharactersWithSpaces>611</CharactersWithSpaces>
  <Paragraphs>72</Paragraphs>
  <Company>MOEABOE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2016-03-15T09:09:00Z</dcterms:created>
  <dc:creator>user</dc:creator>
  <dc:description/>
  <dc:language>zh-TW</dc:language>
  <cp:lastModifiedBy/>
  <dcterms:modified xsi:type="dcterms:W3CDTF">2019-10-08T15:44:56Z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MOEABOE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