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74E" w:rsidRPr="00A82669" w:rsidRDefault="0026788B">
      <w:pPr>
        <w:pStyle w:val="14PT--"/>
        <w:spacing w:line="460" w:lineRule="exact"/>
        <w:rPr>
          <w:rFonts w:ascii="標楷體" w:hAnsi="標楷體"/>
          <w:color w:val="000000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附件一、節約熱能措施換算節電量之方法</w:t>
      </w:r>
    </w:p>
    <w:p w:rsidR="00D0174E" w:rsidRPr="00A82669" w:rsidRDefault="0026788B">
      <w:pPr>
        <w:pStyle w:val="14PT--"/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節約熱能之節電量</w:t>
      </w:r>
      <w:r w:rsidRPr="00A82669">
        <w:rPr>
          <w:rFonts w:ascii="標楷體" w:hAnsi="標楷體"/>
          <w:color w:val="000000"/>
          <w:szCs w:val="28"/>
          <w:lang w:eastAsia="zh-TW"/>
        </w:rPr>
        <w:t>=</w:t>
      </w:r>
      <w:r w:rsidRPr="00A82669">
        <w:rPr>
          <w:rFonts w:ascii="標楷體" w:hAnsi="標楷體"/>
          <w:color w:val="000000"/>
          <w:szCs w:val="28"/>
          <w:lang w:eastAsia="zh-TW"/>
        </w:rPr>
        <w:t>節約熱能量（千卡）</w:t>
      </w:r>
      <w:r w:rsidRPr="00A82669">
        <w:rPr>
          <w:rFonts w:ascii="標楷體" w:hAnsi="標楷體"/>
          <w:color w:val="000000"/>
          <w:szCs w:val="28"/>
          <w:lang w:eastAsia="zh-TW"/>
        </w:rPr>
        <w:t>/860</w:t>
      </w:r>
      <w:r w:rsidRPr="00A82669">
        <w:rPr>
          <w:rFonts w:ascii="標楷體" w:hAnsi="標楷體"/>
          <w:color w:val="000000"/>
          <w:szCs w:val="28"/>
          <w:lang w:eastAsia="zh-TW"/>
        </w:rPr>
        <w:t>（千卡</w:t>
      </w:r>
      <w:r w:rsidRPr="00A82669">
        <w:rPr>
          <w:rFonts w:ascii="標楷體" w:hAnsi="標楷體"/>
          <w:color w:val="000000"/>
          <w:szCs w:val="28"/>
          <w:lang w:eastAsia="zh-TW"/>
        </w:rPr>
        <w:t>/</w:t>
      </w:r>
      <w:r w:rsidRPr="00A82669">
        <w:rPr>
          <w:rFonts w:ascii="標楷體" w:hAnsi="標楷體"/>
          <w:color w:val="000000"/>
          <w:szCs w:val="28"/>
          <w:lang w:eastAsia="zh-TW"/>
        </w:rPr>
        <w:t>度）</w:t>
      </w:r>
      <w:r w:rsidRPr="00A82669">
        <w:rPr>
          <w:rFonts w:ascii="標楷體" w:hAnsi="標楷體"/>
          <w:color w:val="000000"/>
          <w:szCs w:val="28"/>
          <w:lang w:eastAsia="zh-TW"/>
        </w:rPr>
        <w:t>×</w:t>
      </w:r>
      <w:r w:rsidRPr="00A82669">
        <w:rPr>
          <w:rFonts w:ascii="標楷體" w:hAnsi="標楷體"/>
          <w:color w:val="000000"/>
          <w:szCs w:val="28"/>
          <w:lang w:eastAsia="zh-TW"/>
        </w:rPr>
        <w:t>轉換效率係數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火力電廠能源用戶之轉換效率係數為</w:t>
      </w:r>
      <w:r w:rsidRPr="00A82669">
        <w:rPr>
          <w:rFonts w:ascii="標楷體" w:hAnsi="標楷體"/>
          <w:color w:val="000000"/>
          <w:szCs w:val="28"/>
          <w:lang w:eastAsia="zh-TW"/>
        </w:rPr>
        <w:t>40%</w:t>
      </w:r>
      <w:r w:rsidRPr="00A82669">
        <w:rPr>
          <w:rFonts w:ascii="標楷體" w:hAnsi="標楷體"/>
          <w:color w:val="000000"/>
          <w:szCs w:val="28"/>
          <w:lang w:eastAsia="zh-TW"/>
        </w:rPr>
        <w:t>；汽電共生廠能源用戶之轉換效率係數為</w:t>
      </w:r>
      <w:r w:rsidRPr="00A82669">
        <w:rPr>
          <w:rFonts w:ascii="標楷體" w:hAnsi="標楷體"/>
          <w:color w:val="000000"/>
          <w:szCs w:val="28"/>
          <w:lang w:eastAsia="zh-TW"/>
        </w:rPr>
        <w:t>20%</w:t>
      </w:r>
      <w:r w:rsidRPr="00A82669">
        <w:rPr>
          <w:rFonts w:ascii="標楷體" w:hAnsi="標楷體"/>
          <w:color w:val="000000"/>
          <w:szCs w:val="28"/>
          <w:lang w:eastAsia="zh-TW"/>
        </w:rPr>
        <w:t>；其餘能源用戶之轉換效率係數為</w:t>
      </w:r>
      <w:r w:rsidRPr="00A82669">
        <w:rPr>
          <w:rFonts w:ascii="標楷體" w:hAnsi="標楷體"/>
          <w:color w:val="000000"/>
          <w:szCs w:val="28"/>
          <w:lang w:eastAsia="zh-TW"/>
        </w:rPr>
        <w:t>10%</w:t>
      </w:r>
      <w:r w:rsidRPr="00A82669">
        <w:rPr>
          <w:rFonts w:ascii="標楷體" w:hAnsi="標楷體"/>
          <w:color w:val="000000"/>
          <w:szCs w:val="28"/>
          <w:lang w:eastAsia="zh-TW"/>
        </w:rPr>
        <w:t>。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能源用戶每年認列節約熱能</w:t>
      </w:r>
      <w:proofErr w:type="gramStart"/>
      <w:r w:rsidRPr="00A82669">
        <w:rPr>
          <w:rFonts w:ascii="標楷體" w:hAnsi="標楷體"/>
          <w:color w:val="000000"/>
          <w:szCs w:val="28"/>
          <w:lang w:eastAsia="zh-TW"/>
        </w:rPr>
        <w:t>之總節電量</w:t>
      </w:r>
      <w:proofErr w:type="gramEnd"/>
      <w:r w:rsidRPr="00A82669">
        <w:rPr>
          <w:rFonts w:ascii="標楷體" w:hAnsi="標楷體"/>
          <w:color w:val="000000"/>
          <w:szCs w:val="28"/>
          <w:lang w:eastAsia="zh-TW"/>
        </w:rPr>
        <w:t>，以不超過年度目標節電率對應節電量之</w:t>
      </w:r>
      <w:r w:rsidRPr="00A82669">
        <w:rPr>
          <w:rFonts w:ascii="標楷體" w:hAnsi="標楷體"/>
          <w:color w:val="000000"/>
          <w:szCs w:val="28"/>
          <w:lang w:eastAsia="zh-TW"/>
        </w:rPr>
        <w:t>50%</w:t>
      </w:r>
      <w:r w:rsidRPr="00A82669">
        <w:rPr>
          <w:rFonts w:ascii="標楷體" w:hAnsi="標楷體"/>
          <w:color w:val="000000"/>
          <w:szCs w:val="28"/>
          <w:lang w:eastAsia="zh-TW"/>
        </w:rPr>
        <w:t>為限。</w:t>
      </w:r>
    </w:p>
    <w:p w:rsidR="00D0174E" w:rsidRPr="00A82669" w:rsidRDefault="00D0174E">
      <w:pPr>
        <w:pStyle w:val="14PT--"/>
        <w:spacing w:before="156" w:line="460" w:lineRule="exact"/>
        <w:rPr>
          <w:rFonts w:ascii="標楷體" w:hAnsi="標楷體"/>
          <w:color w:val="000000"/>
          <w:szCs w:val="28"/>
          <w:lang w:eastAsia="zh-TW"/>
        </w:rPr>
      </w:pPr>
    </w:p>
    <w:p w:rsidR="00D0174E" w:rsidRPr="00A82669" w:rsidRDefault="0026788B">
      <w:pPr>
        <w:pStyle w:val="14PT--"/>
        <w:spacing w:before="156"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附件二、前期超額節電量之計算方式</w:t>
      </w:r>
    </w:p>
    <w:p w:rsidR="00D0174E" w:rsidRPr="00A82669" w:rsidRDefault="0026788B">
      <w:pPr>
        <w:pStyle w:val="14PT--"/>
        <w:numPr>
          <w:ilvl w:val="0"/>
          <w:numId w:val="4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經濟部「能源用戶訂定節約能源目標及執行計畫規定」要求</w:t>
      </w:r>
      <w:r w:rsidRPr="00A82669">
        <w:rPr>
          <w:rFonts w:ascii="標楷體" w:hAnsi="標楷體"/>
          <w:color w:val="000000"/>
          <w:szCs w:val="28"/>
          <w:lang w:eastAsia="zh-TW"/>
        </w:rPr>
        <w:t>104~113</w:t>
      </w:r>
      <w:r w:rsidRPr="00A82669">
        <w:rPr>
          <w:rFonts w:ascii="標楷體" w:hAnsi="標楷體"/>
          <w:color w:val="000000"/>
          <w:szCs w:val="28"/>
          <w:lang w:eastAsia="zh-TW"/>
        </w:rPr>
        <w:t>年期間之節電量（以</w:t>
      </w:r>
      <w:r w:rsidRPr="00A82669">
        <w:rPr>
          <w:rFonts w:ascii="標楷體" w:hAnsi="標楷體"/>
          <w:color w:val="000000"/>
          <w:szCs w:val="28"/>
          <w:lang w:eastAsia="zh-TW"/>
        </w:rPr>
        <w:t>A</w:t>
      </w:r>
      <w:r w:rsidRPr="00A82669">
        <w:rPr>
          <w:rFonts w:ascii="標楷體" w:hAnsi="標楷體"/>
          <w:color w:val="000000"/>
          <w:szCs w:val="28"/>
          <w:lang w:eastAsia="zh-TW"/>
        </w:rPr>
        <w:t>表示）</w:t>
      </w:r>
      <w:r w:rsidRPr="00A82669">
        <w:rPr>
          <w:rFonts w:ascii="標楷體" w:hAnsi="標楷體"/>
          <w:color w:val="000000"/>
          <w:szCs w:val="28"/>
          <w:lang w:eastAsia="zh-TW"/>
        </w:rPr>
        <w:t>=</w:t>
      </w:r>
      <w:r w:rsidRPr="00A82669">
        <w:rPr>
          <w:rFonts w:ascii="標楷體" w:hAnsi="標楷體"/>
          <w:color w:val="000000"/>
          <w:szCs w:val="28"/>
          <w:lang w:eastAsia="zh-TW"/>
        </w:rPr>
        <w:t>（</w:t>
      </w:r>
      <w:r w:rsidRPr="00A82669">
        <w:rPr>
          <w:rFonts w:ascii="標楷體" w:hAnsi="標楷體"/>
          <w:color w:val="000000"/>
          <w:szCs w:val="28"/>
          <w:lang w:eastAsia="zh-TW"/>
        </w:rPr>
        <w:t>104~113</w:t>
      </w:r>
      <w:r w:rsidRPr="00A82669">
        <w:rPr>
          <w:rFonts w:ascii="標楷體" w:hAnsi="標楷體"/>
          <w:color w:val="000000"/>
          <w:szCs w:val="28"/>
          <w:lang w:eastAsia="zh-TW"/>
        </w:rPr>
        <w:t>年用電量</w:t>
      </w:r>
      <w:r w:rsidRPr="00A82669">
        <w:rPr>
          <w:rFonts w:ascii="標楷體" w:hAnsi="標楷體"/>
          <w:color w:val="000000"/>
          <w:szCs w:val="28"/>
          <w:lang w:eastAsia="zh-TW"/>
        </w:rPr>
        <w:t>×1%</w:t>
      </w:r>
      <w:r w:rsidRPr="00A82669">
        <w:rPr>
          <w:rFonts w:ascii="標楷體" w:hAnsi="標楷體"/>
          <w:color w:val="000000"/>
          <w:szCs w:val="28"/>
          <w:lang w:eastAsia="zh-TW"/>
        </w:rPr>
        <w:t>）</w:t>
      </w:r>
      <w:r w:rsidRPr="00A82669">
        <w:rPr>
          <w:rFonts w:ascii="標楷體" w:hAnsi="標楷體"/>
          <w:color w:val="000000"/>
          <w:szCs w:val="28"/>
          <w:lang w:eastAsia="zh-TW"/>
        </w:rPr>
        <w:t>/</w:t>
      </w:r>
      <w:r w:rsidRPr="00A82669">
        <w:rPr>
          <w:rFonts w:ascii="標楷體" w:hAnsi="標楷體"/>
          <w:color w:val="000000"/>
          <w:szCs w:val="28"/>
          <w:lang w:eastAsia="zh-TW"/>
        </w:rPr>
        <w:t>（</w:t>
      </w:r>
      <w:r w:rsidRPr="00A82669">
        <w:rPr>
          <w:rFonts w:ascii="標楷體" w:hAnsi="標楷體"/>
          <w:color w:val="000000"/>
          <w:szCs w:val="28"/>
          <w:lang w:eastAsia="zh-TW"/>
        </w:rPr>
        <w:t>100%-1%</w:t>
      </w:r>
      <w:r w:rsidRPr="00A82669">
        <w:rPr>
          <w:rFonts w:ascii="標楷體" w:hAnsi="標楷體"/>
          <w:color w:val="000000"/>
          <w:szCs w:val="28"/>
          <w:lang w:eastAsia="zh-TW"/>
        </w:rPr>
        <w:t>）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104~113</w:t>
      </w:r>
      <w:r w:rsidRPr="00A82669">
        <w:rPr>
          <w:rFonts w:ascii="標楷體" w:hAnsi="標楷體"/>
          <w:color w:val="000000"/>
          <w:szCs w:val="28"/>
          <w:lang w:eastAsia="zh-TW"/>
        </w:rPr>
        <w:t>年扣除需量反應之累計節電量（以</w:t>
      </w:r>
      <w:r w:rsidRPr="00A82669">
        <w:rPr>
          <w:rFonts w:ascii="標楷體" w:hAnsi="標楷體"/>
          <w:color w:val="000000"/>
          <w:szCs w:val="28"/>
          <w:lang w:eastAsia="zh-TW"/>
        </w:rPr>
        <w:t>B</w:t>
      </w:r>
      <w:r w:rsidRPr="00A82669">
        <w:rPr>
          <w:rFonts w:ascii="標楷體" w:hAnsi="標楷體"/>
          <w:color w:val="000000"/>
          <w:szCs w:val="28"/>
          <w:lang w:eastAsia="zh-TW"/>
        </w:rPr>
        <w:t>表示）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104~113</w:t>
      </w:r>
      <w:r w:rsidRPr="00A82669">
        <w:rPr>
          <w:rFonts w:ascii="標楷體" w:hAnsi="標楷體"/>
          <w:color w:val="000000"/>
          <w:szCs w:val="28"/>
          <w:lang w:eastAsia="zh-TW"/>
        </w:rPr>
        <w:t>年需量反應累計節電量（以</w:t>
      </w:r>
      <w:r w:rsidRPr="00A82669">
        <w:rPr>
          <w:rFonts w:ascii="標楷體" w:hAnsi="標楷體"/>
          <w:color w:val="000000"/>
          <w:szCs w:val="28"/>
          <w:lang w:eastAsia="zh-TW"/>
        </w:rPr>
        <w:t>C</w:t>
      </w:r>
      <w:r w:rsidRPr="00A82669">
        <w:rPr>
          <w:rFonts w:ascii="標楷體" w:hAnsi="標楷體"/>
          <w:color w:val="000000"/>
          <w:szCs w:val="28"/>
          <w:lang w:eastAsia="zh-TW"/>
        </w:rPr>
        <w:t>表示）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當</w:t>
      </w:r>
      <w:r w:rsidRPr="00A82669">
        <w:rPr>
          <w:rFonts w:ascii="標楷體" w:hAnsi="標楷體"/>
          <w:color w:val="000000"/>
          <w:szCs w:val="28"/>
          <w:lang w:eastAsia="zh-TW"/>
        </w:rPr>
        <w:t>C</w:t>
      </w:r>
      <w:r w:rsidRPr="00A82669">
        <w:rPr>
          <w:rFonts w:ascii="標楷體" w:hAnsi="標楷體"/>
          <w:color w:val="000000"/>
          <w:szCs w:val="28"/>
          <w:lang w:eastAsia="zh-TW"/>
        </w:rPr>
        <w:t>大於</w:t>
      </w:r>
      <w:r w:rsidRPr="00A82669">
        <w:rPr>
          <w:rFonts w:ascii="標楷體" w:hAnsi="標楷體"/>
          <w:color w:val="000000"/>
          <w:szCs w:val="28"/>
          <w:lang w:eastAsia="zh-TW"/>
        </w:rPr>
        <w:t>A</w:t>
      </w:r>
      <w:r w:rsidRPr="00A82669">
        <w:rPr>
          <w:rFonts w:ascii="標楷體" w:hAnsi="標楷體"/>
          <w:color w:val="000000"/>
          <w:szCs w:val="28"/>
          <w:lang w:eastAsia="zh-TW"/>
        </w:rPr>
        <w:t>時，前期超額節電量</w:t>
      </w:r>
      <w:r w:rsidRPr="00A82669">
        <w:rPr>
          <w:rFonts w:ascii="標楷體" w:hAnsi="標楷體"/>
          <w:color w:val="000000"/>
          <w:szCs w:val="28"/>
          <w:lang w:eastAsia="zh-TW"/>
        </w:rPr>
        <w:t>=B</w:t>
      </w:r>
      <w:r w:rsidRPr="00A82669">
        <w:rPr>
          <w:rFonts w:ascii="標楷體" w:hAnsi="標楷體"/>
          <w:color w:val="000000"/>
          <w:szCs w:val="28"/>
          <w:lang w:eastAsia="zh-TW"/>
        </w:rPr>
        <w:t>。</w:t>
      </w:r>
    </w:p>
    <w:p w:rsidR="00D0174E" w:rsidRPr="00A82669" w:rsidRDefault="0026788B">
      <w:pPr>
        <w:pStyle w:val="14PT--"/>
        <w:numPr>
          <w:ilvl w:val="0"/>
          <w:numId w:val="3"/>
        </w:numPr>
        <w:spacing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當</w:t>
      </w:r>
      <w:r w:rsidRPr="00A82669">
        <w:rPr>
          <w:rFonts w:ascii="標楷體" w:hAnsi="標楷體"/>
          <w:color w:val="000000"/>
          <w:szCs w:val="28"/>
          <w:lang w:eastAsia="zh-TW"/>
        </w:rPr>
        <w:t>C</w:t>
      </w:r>
      <w:r w:rsidRPr="00A82669">
        <w:rPr>
          <w:rFonts w:ascii="標楷體" w:hAnsi="標楷體"/>
          <w:color w:val="000000"/>
          <w:szCs w:val="28"/>
          <w:lang w:eastAsia="zh-TW"/>
        </w:rPr>
        <w:t>小於</w:t>
      </w:r>
      <w:r w:rsidRPr="00A82669">
        <w:rPr>
          <w:rFonts w:ascii="標楷體" w:hAnsi="標楷體"/>
          <w:color w:val="000000"/>
          <w:szCs w:val="28"/>
          <w:lang w:eastAsia="zh-TW"/>
        </w:rPr>
        <w:t>A</w:t>
      </w:r>
      <w:r w:rsidRPr="00A82669">
        <w:rPr>
          <w:rFonts w:ascii="標楷體" w:hAnsi="標楷體"/>
          <w:color w:val="000000"/>
          <w:szCs w:val="28"/>
          <w:lang w:eastAsia="zh-TW"/>
        </w:rPr>
        <w:t>時，前期超額節電量</w:t>
      </w:r>
      <w:r w:rsidRPr="00A82669">
        <w:rPr>
          <w:rFonts w:ascii="標楷體" w:hAnsi="標楷體"/>
          <w:color w:val="000000"/>
          <w:szCs w:val="28"/>
          <w:lang w:eastAsia="zh-TW"/>
        </w:rPr>
        <w:t>=B+C-A</w:t>
      </w:r>
      <w:r w:rsidRPr="00A82669">
        <w:rPr>
          <w:rFonts w:ascii="標楷體" w:hAnsi="標楷體"/>
          <w:color w:val="000000"/>
          <w:szCs w:val="28"/>
          <w:lang w:eastAsia="zh-TW"/>
        </w:rPr>
        <w:t>。惟如</w:t>
      </w:r>
      <w:r w:rsidRPr="00A82669">
        <w:rPr>
          <w:rFonts w:ascii="標楷體" w:hAnsi="標楷體"/>
          <w:color w:val="000000"/>
          <w:szCs w:val="28"/>
          <w:lang w:eastAsia="zh-TW"/>
        </w:rPr>
        <w:t>B+C-A</w:t>
      </w:r>
      <w:r w:rsidRPr="00A82669">
        <w:rPr>
          <w:rFonts w:ascii="標楷體" w:hAnsi="標楷體"/>
          <w:color w:val="000000"/>
          <w:szCs w:val="28"/>
          <w:lang w:eastAsia="zh-TW"/>
        </w:rPr>
        <w:t>之值小於</w:t>
      </w:r>
      <w:r w:rsidRPr="00A82669">
        <w:rPr>
          <w:rFonts w:ascii="標楷體" w:hAnsi="標楷體"/>
          <w:color w:val="000000"/>
          <w:szCs w:val="28"/>
          <w:lang w:eastAsia="zh-TW"/>
        </w:rPr>
        <w:t>0</w:t>
      </w:r>
      <w:r w:rsidRPr="00A82669">
        <w:rPr>
          <w:rFonts w:ascii="標楷體" w:hAnsi="標楷體"/>
          <w:color w:val="000000"/>
          <w:szCs w:val="28"/>
          <w:lang w:eastAsia="zh-TW"/>
        </w:rPr>
        <w:t>，則前期超額節電量為</w:t>
      </w:r>
      <w:r w:rsidRPr="00A82669">
        <w:rPr>
          <w:rFonts w:ascii="標楷體" w:hAnsi="標楷體"/>
          <w:color w:val="000000"/>
          <w:szCs w:val="28"/>
          <w:lang w:eastAsia="zh-TW"/>
        </w:rPr>
        <w:t>0</w:t>
      </w:r>
      <w:r w:rsidRPr="00A82669">
        <w:rPr>
          <w:rFonts w:ascii="標楷體" w:hAnsi="標楷體"/>
          <w:color w:val="000000"/>
          <w:szCs w:val="28"/>
          <w:lang w:eastAsia="zh-TW"/>
        </w:rPr>
        <w:t>。</w:t>
      </w:r>
    </w:p>
    <w:p w:rsidR="00D0174E" w:rsidRPr="00A82669" w:rsidRDefault="00D0174E">
      <w:pPr>
        <w:pStyle w:val="14PT--"/>
        <w:spacing w:before="156" w:line="460" w:lineRule="exact"/>
        <w:rPr>
          <w:rFonts w:ascii="標楷體" w:hAnsi="標楷體"/>
          <w:color w:val="000000"/>
          <w:szCs w:val="28"/>
          <w:lang w:eastAsia="zh-TW"/>
        </w:rPr>
      </w:pPr>
    </w:p>
    <w:p w:rsidR="00D0174E" w:rsidRPr="00A82669" w:rsidRDefault="0026788B">
      <w:pPr>
        <w:pStyle w:val="14PT--"/>
        <w:spacing w:before="156"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t>附件三、平均年節電率計算公式</w:t>
      </w:r>
    </w:p>
    <w:tbl>
      <w:tblPr>
        <w:tblW w:w="8775" w:type="dxa"/>
        <w:tblInd w:w="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95"/>
        <w:gridCol w:w="1650"/>
        <w:gridCol w:w="1530"/>
        <w:gridCol w:w="1530"/>
        <w:gridCol w:w="1470"/>
      </w:tblGrid>
      <w:tr w:rsidR="00D0174E" w:rsidRPr="00A82669"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項目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>年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>年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</w:rPr>
            </w:pPr>
            <w:r w:rsidRPr="00A82669">
              <w:rPr>
                <w:rFonts w:ascii="標楷體" w:hAnsi="標楷體"/>
                <w:color w:val="000000"/>
              </w:rPr>
              <w:t>11</w:t>
            </w:r>
            <w:r w:rsidRPr="00A82669">
              <w:rPr>
                <w:rFonts w:ascii="標楷體" w:hAnsi="標楷體"/>
                <w:color w:val="000000"/>
                <w:lang w:eastAsia="zh-TW"/>
              </w:rPr>
              <w:t>6</w:t>
            </w:r>
            <w:r w:rsidRPr="00A82669">
              <w:rPr>
                <w:rFonts w:ascii="標楷體" w:hAnsi="標楷體"/>
                <w:color w:val="000000"/>
              </w:rPr>
              <w:t>年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7</w:t>
            </w:r>
            <w:r w:rsidRPr="00A82669">
              <w:rPr>
                <w:rFonts w:ascii="標楷體" w:hAnsi="標楷體"/>
                <w:color w:val="000000"/>
                <w:szCs w:val="28"/>
              </w:rPr>
              <w:t>年</w:t>
            </w:r>
          </w:p>
        </w:tc>
      </w:tr>
      <w:tr w:rsidR="00D0174E" w:rsidRPr="00A82669"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年度節電量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</w:rPr>
              <w:t>度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）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15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6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7</w:t>
            </w:r>
          </w:p>
        </w:tc>
      </w:tr>
      <w:tr w:rsidR="00D0174E" w:rsidRPr="00A82669"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年度用電量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</w:rPr>
              <w:t>度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）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6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7</w:t>
            </w:r>
          </w:p>
        </w:tc>
      </w:tr>
      <w:tr w:rsidR="00D0174E" w:rsidRPr="00A82669"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平均年節電率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</w:rPr>
              <w:t>%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）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6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7</w:t>
            </w:r>
          </w:p>
        </w:tc>
      </w:tr>
      <w:tr w:rsidR="00D0174E" w:rsidRPr="00A82669">
        <w:tc>
          <w:tcPr>
            <w:tcW w:w="877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numPr>
                <w:ilvl w:val="0"/>
                <w:numId w:val="5"/>
              </w:numPr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前期超額節電量</w:t>
            </w:r>
            <w:r w:rsidRPr="00A82669">
              <w:rPr>
                <w:rFonts w:ascii="標楷體" w:hAnsi="標楷體"/>
                <w:color w:val="000000"/>
                <w:szCs w:val="28"/>
              </w:rPr>
              <w:t>(</w:t>
            </w:r>
            <w:r w:rsidRPr="00A82669">
              <w:rPr>
                <w:rFonts w:ascii="標楷體" w:hAnsi="標楷體"/>
                <w:color w:val="000000"/>
                <w:szCs w:val="28"/>
              </w:rPr>
              <w:t>度</w:t>
            </w:r>
            <w:r w:rsidRPr="00A82669">
              <w:rPr>
                <w:rFonts w:ascii="標楷體" w:hAnsi="標楷體"/>
                <w:color w:val="000000"/>
                <w:szCs w:val="28"/>
              </w:rPr>
              <w:t>)</w:t>
            </w:r>
            <w:r w:rsidRPr="00A82669">
              <w:rPr>
                <w:rFonts w:ascii="標楷體" w:hAnsi="標楷體"/>
                <w:color w:val="000000"/>
                <w:szCs w:val="28"/>
              </w:rPr>
              <w:t>：</w:t>
            </w:r>
            <w:r w:rsidRPr="00A82669">
              <w:rPr>
                <w:rFonts w:ascii="標楷體" w:hAnsi="標楷體"/>
                <w:color w:val="000000"/>
                <w:szCs w:val="28"/>
              </w:rPr>
              <w:t>ES</w:t>
            </w:r>
          </w:p>
          <w:p w:rsidR="00D0174E" w:rsidRPr="00A82669" w:rsidRDefault="0026788B">
            <w:pPr>
              <w:pStyle w:val="af6"/>
              <w:numPr>
                <w:ilvl w:val="0"/>
                <w:numId w:val="3"/>
              </w:numPr>
              <w:rPr>
                <w:rFonts w:ascii="標楷體" w:hAnsi="標楷體"/>
                <w:color w:val="000000"/>
              </w:rPr>
            </w:pP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=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ES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</w:rPr>
              <w:t>/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×</w:t>
            </w:r>
            <w:r w:rsidRPr="00A82669">
              <w:rPr>
                <w:rFonts w:ascii="標楷體" w:hAnsi="標楷體"/>
                <w:color w:val="000000"/>
                <w:szCs w:val="28"/>
              </w:rPr>
              <w:t>100%</w:t>
            </w:r>
          </w:p>
          <w:p w:rsidR="00D0174E" w:rsidRPr="00A82669" w:rsidRDefault="0026788B">
            <w:pPr>
              <w:pStyle w:val="af6"/>
              <w:numPr>
                <w:ilvl w:val="0"/>
                <w:numId w:val="3"/>
              </w:numPr>
              <w:rPr>
                <w:rFonts w:ascii="標楷體" w:hAnsi="標楷體"/>
                <w:color w:val="000000"/>
              </w:rPr>
            </w:pP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=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 xml:space="preserve">115 </w:t>
            </w:r>
            <w:r w:rsidRPr="00A82669">
              <w:rPr>
                <w:rFonts w:ascii="標楷體" w:hAnsi="標楷體"/>
                <w:color w:val="000000"/>
                <w:szCs w:val="28"/>
              </w:rPr>
              <w:t>+ ES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</w:rPr>
              <w:t>/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×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100% </w:t>
            </w:r>
          </w:p>
          <w:p w:rsidR="00D0174E" w:rsidRPr="00A82669" w:rsidRDefault="0026788B">
            <w:pPr>
              <w:pStyle w:val="af6"/>
              <w:numPr>
                <w:ilvl w:val="0"/>
                <w:numId w:val="3"/>
              </w:numPr>
              <w:rPr>
                <w:rFonts w:ascii="標楷體" w:hAnsi="標楷體"/>
                <w:color w:val="000000"/>
              </w:rPr>
            </w:pP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116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=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 xml:space="preserve">116 </w:t>
            </w:r>
            <w:r w:rsidRPr="00A82669">
              <w:rPr>
                <w:rFonts w:ascii="標楷體" w:hAnsi="標楷體"/>
                <w:color w:val="000000"/>
                <w:szCs w:val="28"/>
              </w:rPr>
              <w:t>+ ES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</w:rPr>
              <w:t>/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116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116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×</w:t>
            </w:r>
            <w:r w:rsidRPr="00A82669">
              <w:rPr>
                <w:rFonts w:ascii="標楷體" w:hAnsi="標楷體"/>
                <w:color w:val="000000"/>
                <w:szCs w:val="28"/>
              </w:rPr>
              <w:t>100%</w:t>
            </w:r>
          </w:p>
          <w:p w:rsidR="00D0174E" w:rsidRPr="00A82669" w:rsidRDefault="0026788B">
            <w:pPr>
              <w:pStyle w:val="af6"/>
              <w:numPr>
                <w:ilvl w:val="0"/>
                <w:numId w:val="3"/>
              </w:numPr>
              <w:rPr>
                <w:rFonts w:ascii="標楷體" w:hAnsi="標楷體"/>
                <w:color w:val="000000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R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>7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=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116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 xml:space="preserve">117 </w:t>
            </w:r>
            <w:r w:rsidRPr="00A82669">
              <w:rPr>
                <w:rFonts w:ascii="標楷體" w:hAnsi="標楷體"/>
                <w:color w:val="000000"/>
                <w:szCs w:val="28"/>
              </w:rPr>
              <w:t>+ ES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</w:rPr>
              <w:t>/</w:t>
            </w:r>
            <w:r w:rsidRPr="00A82669">
              <w:rPr>
                <w:rFonts w:ascii="標楷體" w:hAnsi="標楷體"/>
                <w:color w:val="000000"/>
                <w:szCs w:val="28"/>
              </w:rPr>
              <w:t>（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 xml:space="preserve">116 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+ </w:t>
            </w:r>
            <w:r w:rsidRPr="00A82669">
              <w:rPr>
                <w:rFonts w:ascii="標楷體" w:hAnsi="標楷體"/>
                <w:color w:val="000000"/>
                <w:szCs w:val="28"/>
              </w:rPr>
              <w:t>S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117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114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115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116</w:t>
            </w:r>
            <w:r w:rsidRPr="00A82669">
              <w:rPr>
                <w:rFonts w:ascii="標楷體" w:hAnsi="標楷體"/>
                <w:color w:val="000000"/>
                <w:szCs w:val="28"/>
              </w:rPr>
              <w:t xml:space="preserve"> + C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</w:rPr>
              <w:t>117</w:t>
            </w:r>
            <w:r w:rsidRPr="00A82669">
              <w:rPr>
                <w:rFonts w:ascii="標楷體" w:hAnsi="標楷體"/>
                <w:color w:val="000000"/>
                <w:szCs w:val="28"/>
                <w:vertAlign w:val="subscript"/>
                <w:lang w:eastAsia="zh-TW"/>
              </w:rPr>
              <w:t xml:space="preserve"> </w:t>
            </w:r>
            <w:r w:rsidRPr="00A82669">
              <w:rPr>
                <w:rFonts w:ascii="標楷體" w:hAnsi="標楷體"/>
                <w:color w:val="000000"/>
                <w:szCs w:val="28"/>
              </w:rPr>
              <w:t>）</w:t>
            </w:r>
            <w:r w:rsidRPr="00A82669">
              <w:rPr>
                <w:rFonts w:ascii="標楷體" w:hAnsi="標楷體"/>
                <w:color w:val="000000"/>
                <w:szCs w:val="28"/>
                <w:lang w:eastAsia="zh-TW"/>
              </w:rPr>
              <w:t>×</w:t>
            </w:r>
            <w:r w:rsidRPr="00A82669">
              <w:rPr>
                <w:rFonts w:ascii="標楷體" w:hAnsi="標楷體"/>
                <w:color w:val="000000"/>
                <w:szCs w:val="28"/>
              </w:rPr>
              <w:t>100%</w:t>
            </w:r>
          </w:p>
        </w:tc>
      </w:tr>
    </w:tbl>
    <w:p w:rsidR="00D0174E" w:rsidRPr="00A82669" w:rsidRDefault="0026788B">
      <w:pPr>
        <w:pStyle w:val="14PT--"/>
        <w:spacing w:before="156" w:line="460" w:lineRule="exact"/>
        <w:rPr>
          <w:rFonts w:ascii="標楷體" w:hAnsi="標楷體"/>
          <w:color w:val="000000"/>
          <w:szCs w:val="28"/>
          <w:lang w:eastAsia="zh-TW"/>
        </w:rPr>
      </w:pPr>
      <w:r w:rsidRPr="00A82669">
        <w:rPr>
          <w:rFonts w:ascii="標楷體" w:hAnsi="標楷體"/>
          <w:color w:val="000000"/>
          <w:szCs w:val="28"/>
          <w:lang w:eastAsia="zh-TW"/>
        </w:rPr>
        <w:lastRenderedPageBreak/>
        <w:t>附件四、節電率目標</w:t>
      </w:r>
    </w:p>
    <w:tbl>
      <w:tblPr>
        <w:tblW w:w="500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27"/>
        <w:gridCol w:w="2927"/>
        <w:gridCol w:w="2928"/>
      </w:tblGrid>
      <w:tr w:rsidR="00D0174E" w:rsidRPr="00A82669"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契約容量</w:t>
            </w:r>
          </w:p>
        </w:tc>
        <w:tc>
          <w:tcPr>
            <w:tcW w:w="2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年度節電率目標</w:t>
            </w:r>
          </w:p>
        </w:tc>
        <w:tc>
          <w:tcPr>
            <w:tcW w:w="2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平均年節電率目標</w:t>
            </w:r>
          </w:p>
        </w:tc>
      </w:tr>
      <w:tr w:rsidR="00D0174E" w:rsidRPr="00A82669">
        <w:tc>
          <w:tcPr>
            <w:tcW w:w="2929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10,000 kW</w:t>
            </w:r>
            <w:r w:rsidRPr="00A82669">
              <w:rPr>
                <w:rFonts w:ascii="標楷體" w:hAnsi="標楷體"/>
                <w:color w:val="000000"/>
                <w:szCs w:val="28"/>
              </w:rPr>
              <w:t>以下</w:t>
            </w:r>
          </w:p>
        </w:tc>
        <w:tc>
          <w:tcPr>
            <w:tcW w:w="2929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1.0%</w:t>
            </w:r>
          </w:p>
        </w:tc>
        <w:tc>
          <w:tcPr>
            <w:tcW w:w="2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1.0%</w:t>
            </w:r>
          </w:p>
        </w:tc>
      </w:tr>
      <w:tr w:rsidR="00D0174E" w:rsidRPr="00A82669">
        <w:tc>
          <w:tcPr>
            <w:tcW w:w="2929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超過</w:t>
            </w:r>
            <w:r w:rsidRPr="00A82669">
              <w:rPr>
                <w:rFonts w:ascii="標楷體" w:hAnsi="標楷體"/>
                <w:color w:val="000000"/>
                <w:szCs w:val="28"/>
              </w:rPr>
              <w:t>10,000 kW</w:t>
            </w:r>
          </w:p>
        </w:tc>
        <w:tc>
          <w:tcPr>
            <w:tcW w:w="2929" w:type="dxa"/>
            <w:tcBorders>
              <w:left w:val="single" w:sz="2" w:space="0" w:color="000000"/>
              <w:bottom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1.5%</w:t>
            </w:r>
          </w:p>
        </w:tc>
        <w:tc>
          <w:tcPr>
            <w:tcW w:w="29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174E" w:rsidRPr="00A82669" w:rsidRDefault="0026788B">
            <w:pPr>
              <w:pStyle w:val="af6"/>
              <w:jc w:val="center"/>
              <w:rPr>
                <w:rFonts w:ascii="標楷體" w:hAnsi="標楷體"/>
                <w:color w:val="000000"/>
                <w:szCs w:val="28"/>
              </w:rPr>
            </w:pPr>
            <w:r w:rsidRPr="00A82669">
              <w:rPr>
                <w:rFonts w:ascii="標楷體" w:hAnsi="標楷體"/>
                <w:color w:val="000000"/>
                <w:szCs w:val="28"/>
              </w:rPr>
              <w:t>1.5%</w:t>
            </w:r>
          </w:p>
        </w:tc>
      </w:tr>
    </w:tbl>
    <w:p w:rsidR="00D0174E" w:rsidRPr="00A82669" w:rsidRDefault="0026788B">
      <w:pPr>
        <w:pStyle w:val="12PT--21"/>
        <w:rPr>
          <w:rFonts w:ascii="標楷體" w:hAnsi="標楷體"/>
          <w:color w:val="000000"/>
        </w:rPr>
      </w:pPr>
      <w:r w:rsidRPr="00A82669">
        <w:rPr>
          <w:rFonts w:ascii="標楷體" w:hAnsi="標楷體"/>
          <w:color w:val="000000"/>
        </w:rPr>
        <w:t>註：</w:t>
      </w:r>
    </w:p>
    <w:p w:rsidR="00D0174E" w:rsidRPr="00A82669" w:rsidRDefault="0026788B">
      <w:pPr>
        <w:pStyle w:val="14"/>
        <w:numPr>
          <w:ilvl w:val="0"/>
          <w:numId w:val="2"/>
        </w:numPr>
        <w:spacing w:after="0"/>
        <w:ind w:left="624" w:right="0" w:hanging="340"/>
        <w:jc w:val="left"/>
        <w:rPr>
          <w:rFonts w:ascii="標楷體" w:hAnsi="標楷體"/>
          <w:color w:val="000000"/>
          <w:sz w:val="24"/>
        </w:rPr>
      </w:pPr>
      <w:r w:rsidRPr="00A82669">
        <w:rPr>
          <w:rFonts w:ascii="標楷體" w:hAnsi="標楷體"/>
          <w:color w:val="000000"/>
          <w:sz w:val="24"/>
        </w:rPr>
        <w:t>能源用戶為教育</w:t>
      </w:r>
      <w:r w:rsidRPr="00A82669">
        <w:rPr>
          <w:rFonts w:ascii="標楷體" w:hAnsi="標楷體"/>
          <w:color w:val="000000"/>
          <w:sz w:val="24"/>
          <w:lang w:eastAsia="zh-TW"/>
        </w:rPr>
        <w:t>服務</w:t>
      </w:r>
      <w:r w:rsidRPr="00A82669">
        <w:rPr>
          <w:rFonts w:ascii="標楷體" w:hAnsi="標楷體"/>
          <w:color w:val="000000"/>
          <w:sz w:val="24"/>
        </w:rPr>
        <w:t>業、醫療保健及社會工作服務業、運輸</w:t>
      </w:r>
      <w:r w:rsidRPr="00A82669">
        <w:rPr>
          <w:rFonts w:ascii="標楷體" w:hAnsi="標楷體"/>
          <w:color w:val="000000"/>
          <w:sz w:val="24"/>
          <w:lang w:eastAsia="zh-TW"/>
        </w:rPr>
        <w:t>服務</w:t>
      </w:r>
      <w:r w:rsidRPr="00A82669">
        <w:rPr>
          <w:rFonts w:ascii="標楷體" w:hAnsi="標楷體"/>
          <w:color w:val="000000"/>
          <w:sz w:val="24"/>
        </w:rPr>
        <w:t>業、政府機關及政府依各該設置條例設立之研究機關（構）者，年度節電率目標及平均年節電率目標皆為</w:t>
      </w:r>
      <w:r w:rsidRPr="00A82669">
        <w:rPr>
          <w:rFonts w:ascii="標楷體" w:hAnsi="標楷體"/>
          <w:color w:val="000000"/>
          <w:sz w:val="24"/>
        </w:rPr>
        <w:t>1.0%</w:t>
      </w:r>
      <w:r w:rsidRPr="00A82669">
        <w:rPr>
          <w:rFonts w:ascii="標楷體" w:hAnsi="標楷體"/>
          <w:color w:val="000000"/>
          <w:sz w:val="24"/>
        </w:rPr>
        <w:t>。</w:t>
      </w:r>
    </w:p>
    <w:p w:rsidR="00D0174E" w:rsidRPr="00A82669" w:rsidRDefault="0026788B">
      <w:pPr>
        <w:pStyle w:val="14"/>
        <w:numPr>
          <w:ilvl w:val="0"/>
          <w:numId w:val="2"/>
        </w:numPr>
        <w:spacing w:after="0"/>
        <w:ind w:left="624" w:right="0" w:hanging="340"/>
        <w:rPr>
          <w:rFonts w:ascii="標楷體" w:hAnsi="標楷體"/>
          <w:color w:val="000000"/>
          <w:sz w:val="24"/>
        </w:rPr>
      </w:pPr>
      <w:r w:rsidRPr="00A82669">
        <w:rPr>
          <w:rFonts w:ascii="標楷體" w:hAnsi="標楷體"/>
          <w:bCs/>
          <w:color w:val="000000"/>
          <w:sz w:val="24"/>
          <w:lang w:eastAsia="zh-TW"/>
        </w:rPr>
        <w:t>能源用戶為</w:t>
      </w:r>
      <w:r w:rsidRPr="00A82669">
        <w:rPr>
          <w:rFonts w:ascii="標楷體" w:hAnsi="標楷體"/>
          <w:bCs/>
          <w:color w:val="000000"/>
          <w:sz w:val="24"/>
        </w:rPr>
        <w:t>國營事業</w:t>
      </w:r>
      <w:r w:rsidRPr="00A82669">
        <w:rPr>
          <w:rFonts w:ascii="標楷體" w:hAnsi="標楷體"/>
          <w:bCs/>
          <w:color w:val="000000"/>
          <w:sz w:val="24"/>
          <w:lang w:eastAsia="zh-TW"/>
        </w:rPr>
        <w:t>且</w:t>
      </w:r>
      <w:r w:rsidRPr="00A82669">
        <w:rPr>
          <w:rFonts w:ascii="標楷體" w:hAnsi="標楷體"/>
          <w:bCs/>
          <w:color w:val="000000"/>
          <w:sz w:val="24"/>
        </w:rPr>
        <w:t>非屬前述範疇者</w:t>
      </w:r>
      <w:r w:rsidRPr="00A82669">
        <w:rPr>
          <w:rFonts w:ascii="標楷體" w:hAnsi="標楷體"/>
          <w:bCs/>
          <w:color w:val="000000"/>
          <w:sz w:val="24"/>
        </w:rPr>
        <w:t>，</w:t>
      </w:r>
      <w:r w:rsidRPr="00A82669">
        <w:rPr>
          <w:rFonts w:ascii="標楷體" w:hAnsi="標楷體"/>
          <w:bCs/>
          <w:color w:val="000000"/>
          <w:sz w:val="24"/>
          <w:lang w:eastAsia="zh-TW"/>
        </w:rPr>
        <w:t>不分契約容量級距，</w:t>
      </w:r>
      <w:r w:rsidRPr="00A82669">
        <w:rPr>
          <w:rFonts w:ascii="標楷體" w:hAnsi="標楷體"/>
          <w:bCs/>
          <w:color w:val="000000"/>
          <w:sz w:val="24"/>
        </w:rPr>
        <w:t>其年度節電率目標及平均年節電率目標皆為</w:t>
      </w:r>
      <w:r w:rsidRPr="00A82669">
        <w:rPr>
          <w:rFonts w:ascii="標楷體" w:hAnsi="標楷體"/>
          <w:bCs/>
          <w:color w:val="000000"/>
          <w:sz w:val="24"/>
        </w:rPr>
        <w:t>1.5%</w:t>
      </w:r>
      <w:r w:rsidRPr="00A82669">
        <w:rPr>
          <w:rFonts w:ascii="標楷體" w:hAnsi="標楷體"/>
          <w:bCs/>
          <w:color w:val="000000"/>
          <w:sz w:val="24"/>
        </w:rPr>
        <w:t>。</w:t>
      </w:r>
      <w:bookmarkStart w:id="0" w:name="_GoBack"/>
      <w:bookmarkEnd w:id="0"/>
    </w:p>
    <w:sectPr w:rsidR="00D0174E" w:rsidRPr="00A82669">
      <w:pgSz w:w="11906" w:h="16838"/>
      <w:pgMar w:top="1417" w:right="1417" w:bottom="1417" w:left="1701" w:header="0" w:footer="0" w:gutter="0"/>
      <w:cols w:space="720"/>
      <w:formProt w:val="0"/>
      <w:docGrid w:linePitch="312" w:charSpace="-14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88B" w:rsidRDefault="0026788B" w:rsidP="00A82669">
      <w:r>
        <w:separator/>
      </w:r>
    </w:p>
  </w:endnote>
  <w:endnote w:type="continuationSeparator" w:id="0">
    <w:p w:rsidR="0026788B" w:rsidRDefault="0026788B" w:rsidP="00A82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88"/>
    <w:family w:val="roman"/>
    <w:pitch w:val="variable"/>
    <w:sig w:usb0="E0000AFF" w:usb1="500078FF" w:usb2="00000021" w:usb3="00000000" w:csb0="000001BF" w:csb1="00000000"/>
  </w:font>
  <w:font w:name="思源宋體">
    <w:panose1 w:val="02020400000000000000"/>
    <w:charset w:val="88"/>
    <w:family w:val="roman"/>
    <w:notTrueType/>
    <w:pitch w:val="variable"/>
    <w:sig w:usb0="30000287" w:usb1="2BDF3C10" w:usb2="00000016" w:usb3="00000000" w:csb0="003A0107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charset w:val="88"/>
    <w:family w:val="modern"/>
    <w:pitch w:val="fixed"/>
    <w:sig w:usb0="E0000AFF" w:usb1="400078FF" w:usb2="0000000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88B" w:rsidRDefault="0026788B" w:rsidP="00A82669">
      <w:r>
        <w:separator/>
      </w:r>
    </w:p>
  </w:footnote>
  <w:footnote w:type="continuationSeparator" w:id="0">
    <w:p w:rsidR="0026788B" w:rsidRDefault="0026788B" w:rsidP="00A82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45819"/>
    <w:multiLevelType w:val="multilevel"/>
    <w:tmpl w:val="F976E558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425" w:hanging="425"/>
      </w:pPr>
    </w:lvl>
    <w:lvl w:ilvl="1">
      <w:start w:val="1"/>
      <w:numFmt w:val="decimal"/>
      <w:suff w:val="nothing"/>
      <w:lvlText w:val="(%2)"/>
      <w:lvlJc w:val="left"/>
      <w:pPr>
        <w:tabs>
          <w:tab w:val="num" w:pos="0"/>
        </w:tabs>
        <w:ind w:left="612" w:hanging="329"/>
      </w:pPr>
    </w:lvl>
    <w:lvl w:ilvl="2">
      <w:start w:val="1"/>
      <w:numFmt w:val="upperLetter"/>
      <w:lvlText w:val="%3、"/>
      <w:lvlJc w:val="left"/>
      <w:pPr>
        <w:tabs>
          <w:tab w:val="num" w:pos="1134"/>
        </w:tabs>
        <w:ind w:left="1134" w:hanging="567"/>
      </w:pPr>
    </w:lvl>
    <w:lvl w:ilvl="3">
      <w:start w:val="1"/>
      <w:numFmt w:val="upperLetter"/>
      <w:lvlText w:val="(%4)"/>
      <w:lvlJc w:val="left"/>
      <w:pPr>
        <w:tabs>
          <w:tab w:val="num" w:pos="1332"/>
        </w:tabs>
        <w:ind w:left="1332" w:hanging="482"/>
      </w:pPr>
    </w:lvl>
    <w:lvl w:ilvl="4">
      <w:start w:val="1"/>
      <w:numFmt w:val="lowerLetter"/>
      <w:lvlText w:val="%5、"/>
      <w:lvlJc w:val="left"/>
      <w:pPr>
        <w:tabs>
          <w:tab w:val="num" w:pos="1644"/>
        </w:tabs>
        <w:ind w:left="1644" w:hanging="510"/>
      </w:pPr>
    </w:lvl>
    <w:lvl w:ilvl="5">
      <w:start w:val="1"/>
      <w:numFmt w:val="lowerLetter"/>
      <w:lvlText w:val="(%6)"/>
      <w:lvlJc w:val="left"/>
      <w:pPr>
        <w:tabs>
          <w:tab w:val="num" w:pos="1843"/>
        </w:tabs>
        <w:ind w:left="1843" w:hanging="426"/>
      </w:pPr>
    </w:lvl>
    <w:lvl w:ilvl="6">
      <w:start w:val="1"/>
      <w:numFmt w:val="decimal"/>
      <w:suff w:val="nothing"/>
      <w:lvlText w:val=" %7."/>
      <w:lvlJc w:val="left"/>
      <w:pPr>
        <w:tabs>
          <w:tab w:val="num" w:pos="0"/>
        </w:tabs>
        <w:ind w:left="680" w:hanging="226"/>
      </w:pPr>
    </w:lvl>
    <w:lvl w:ilvl="7">
      <w:start w:val="1"/>
      <w:numFmt w:val="decimal"/>
      <w:suff w:val="nothing"/>
      <w:lvlText w:val=" %8."/>
      <w:lvlJc w:val="left"/>
      <w:pPr>
        <w:tabs>
          <w:tab w:val="num" w:pos="0"/>
        </w:tabs>
        <w:ind w:left="680" w:hanging="226"/>
      </w:pPr>
    </w:lvl>
    <w:lvl w:ilvl="8">
      <w:start w:val="1"/>
      <w:numFmt w:val="decimal"/>
      <w:suff w:val="nothing"/>
      <w:lvlText w:val=" %9."/>
      <w:lvlJc w:val="left"/>
      <w:pPr>
        <w:tabs>
          <w:tab w:val="num" w:pos="0"/>
        </w:tabs>
        <w:ind w:left="680" w:hanging="226"/>
      </w:pPr>
    </w:lvl>
  </w:abstractNum>
  <w:abstractNum w:abstractNumId="1" w15:restartNumberingAfterBreak="0">
    <w:nsid w:val="39924422"/>
    <w:multiLevelType w:val="multilevel"/>
    <w:tmpl w:val="0AA0FBA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3AF57CE"/>
    <w:multiLevelType w:val="multilevel"/>
    <w:tmpl w:val="707A7C4E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357" w:hanging="357"/>
      </w:pPr>
      <w:rPr>
        <w:sz w:val="24"/>
      </w:rPr>
    </w:lvl>
    <w:lvl w:ilvl="1">
      <w:start w:val="1"/>
      <w:numFmt w:val="decimal"/>
      <w:suff w:val="nothing"/>
      <w:lvlText w:val="(%2)"/>
      <w:lvlJc w:val="left"/>
      <w:pPr>
        <w:tabs>
          <w:tab w:val="num" w:pos="0"/>
        </w:tabs>
        <w:ind w:left="499" w:hanging="272"/>
      </w:pPr>
      <w:rPr>
        <w:sz w:val="24"/>
      </w:rPr>
    </w:lvl>
    <w:lvl w:ilvl="2">
      <w:start w:val="1"/>
      <w:numFmt w:val="upperLetter"/>
      <w:lvlText w:val="%3、"/>
      <w:lvlJc w:val="left"/>
      <w:pPr>
        <w:tabs>
          <w:tab w:val="num" w:pos="935"/>
        </w:tabs>
        <w:ind w:left="935" w:hanging="481"/>
      </w:pPr>
      <w:rPr>
        <w:sz w:val="24"/>
      </w:rPr>
    </w:lvl>
    <w:lvl w:ilvl="3">
      <w:start w:val="1"/>
      <w:numFmt w:val="upperLetter"/>
      <w:lvlText w:val="(%4)"/>
      <w:lvlJc w:val="left"/>
      <w:pPr>
        <w:tabs>
          <w:tab w:val="num" w:pos="1106"/>
        </w:tabs>
        <w:ind w:left="1106" w:hanging="426"/>
      </w:pPr>
      <w:rPr>
        <w:sz w:val="24"/>
      </w:rPr>
    </w:lvl>
    <w:lvl w:ilvl="4">
      <w:start w:val="1"/>
      <w:numFmt w:val="lowerLetter"/>
      <w:lvlText w:val="%5、"/>
      <w:lvlJc w:val="left"/>
      <w:pPr>
        <w:tabs>
          <w:tab w:val="num" w:pos="1361"/>
        </w:tabs>
        <w:ind w:left="1361" w:hanging="454"/>
      </w:pPr>
      <w:rPr>
        <w:sz w:val="24"/>
      </w:rPr>
    </w:lvl>
    <w:lvl w:ilvl="5">
      <w:start w:val="1"/>
      <w:numFmt w:val="lowerLetter"/>
      <w:lvlText w:val="(%6)"/>
      <w:lvlJc w:val="left"/>
      <w:pPr>
        <w:tabs>
          <w:tab w:val="num" w:pos="1502"/>
        </w:tabs>
        <w:ind w:left="1502" w:hanging="368"/>
      </w:pPr>
      <w:rPr>
        <w:sz w:val="24"/>
      </w:rPr>
    </w:lvl>
    <w:lvl w:ilvl="6">
      <w:start w:val="1"/>
      <w:numFmt w:val="decimal"/>
      <w:suff w:val="nothing"/>
      <w:lvlText w:val=" %7."/>
      <w:lvlJc w:val="left"/>
      <w:pPr>
        <w:tabs>
          <w:tab w:val="num" w:pos="0"/>
        </w:tabs>
        <w:ind w:left="680" w:hanging="226"/>
      </w:pPr>
      <w:rPr>
        <w:sz w:val="24"/>
      </w:rPr>
    </w:lvl>
    <w:lvl w:ilvl="7">
      <w:start w:val="1"/>
      <w:numFmt w:val="decimal"/>
      <w:suff w:val="nothing"/>
      <w:lvlText w:val=" %8."/>
      <w:lvlJc w:val="left"/>
      <w:pPr>
        <w:tabs>
          <w:tab w:val="num" w:pos="0"/>
        </w:tabs>
        <w:ind w:left="680" w:hanging="226"/>
      </w:pPr>
      <w:rPr>
        <w:sz w:val="24"/>
      </w:rPr>
    </w:lvl>
    <w:lvl w:ilvl="8">
      <w:start w:val="1"/>
      <w:numFmt w:val="decimal"/>
      <w:suff w:val="nothing"/>
      <w:lvlText w:val=" %9."/>
      <w:lvlJc w:val="left"/>
      <w:pPr>
        <w:tabs>
          <w:tab w:val="num" w:pos="0"/>
        </w:tabs>
        <w:ind w:left="680" w:hanging="226"/>
      </w:pPr>
      <w:rPr>
        <w:sz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567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74E"/>
    <w:rsid w:val="0026788B"/>
    <w:rsid w:val="00A82669"/>
    <w:rsid w:val="00D0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8B093A-04E3-4D8B-A624-F44C8A60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kinsoku w:val="0"/>
      <w:overflowPunct w:val="0"/>
      <w:autoSpaceDE w:val="0"/>
      <w:jc w:val="both"/>
    </w:pPr>
    <w:rPr>
      <w:lang/>
    </w:rPr>
  </w:style>
  <w:style w:type="paragraph" w:styleId="2">
    <w:name w:val="heading 2"/>
    <w:basedOn w:val="a0"/>
    <w:next w:val="a1"/>
    <w:uiPriority w:val="9"/>
    <w:semiHidden/>
    <w:unhideWhenUsed/>
    <w:qFormat/>
    <w:pPr>
      <w:spacing w:before="200" w:after="120"/>
      <w:outlineLvl w:val="1"/>
    </w:pPr>
    <w:rPr>
      <w:rFonts w:ascii="Liberation Serif" w:eastAsia="思源宋體" w:hAnsi="Liberation Serif" w:cs="Lucida Sans"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  <w:rPr>
      <w:sz w:val="27"/>
      <w:szCs w:val="27"/>
    </w:rPr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styleId="ac">
    <w:name w:val="Emphasis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0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styleId="af2">
    <w:name w:val="Hyperlink"/>
    <w:rPr>
      <w:rFonts w:ascii="標楷體" w:hAnsi="標楷體"/>
      <w:color w:val="000080"/>
      <w:u w:val="single"/>
      <w:lang/>
    </w:rPr>
  </w:style>
  <w:style w:type="character" w:styleId="af3">
    <w:name w:val="FollowedHyperlink"/>
    <w:rPr>
      <w:rFonts w:ascii="標楷體" w:hAnsi="標楷體"/>
      <w:color w:val="800000"/>
      <w:u w:val="single"/>
      <w:lang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uiPriority w:val="10"/>
    <w:qFormat/>
    <w:pPr>
      <w:keepNext/>
      <w:spacing w:line="276" w:lineRule="auto"/>
    </w:pPr>
    <w:rPr>
      <w:rFonts w:cs="Tahoma"/>
      <w:b/>
      <w:sz w:val="32"/>
      <w:szCs w:val="28"/>
    </w:rPr>
  </w:style>
  <w:style w:type="paragraph" w:styleId="a1">
    <w:name w:val="Body Text"/>
    <w:basedOn w:val="a"/>
    <w:rPr>
      <w:sz w:val="32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af5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6">
    <w:name w:val="表格內容"/>
    <w:basedOn w:val="a"/>
    <w:qFormat/>
    <w:pPr>
      <w:suppressLineNumbers/>
    </w:pPr>
  </w:style>
  <w:style w:type="paragraph" w:styleId="af7">
    <w:name w:val="caption"/>
    <w:basedOn w:val="a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f8">
    <w:name w:val="表格"/>
    <w:basedOn w:val="af7"/>
    <w:qFormat/>
    <w:pPr>
      <w:spacing w:before="0" w:after="0"/>
    </w:pPr>
  </w:style>
  <w:style w:type="paragraph" w:customStyle="1" w:styleId="af9">
    <w:name w:val="索引"/>
    <w:basedOn w:val="a"/>
    <w:qFormat/>
    <w:pPr>
      <w:suppressLineNumbers/>
    </w:pPr>
  </w:style>
  <w:style w:type="paragraph" w:customStyle="1" w:styleId="11">
    <w:name w:val="表格索引 1"/>
    <w:basedOn w:val="af9"/>
    <w:qFormat/>
    <w:pPr>
      <w:tabs>
        <w:tab w:val="right" w:leader="dot" w:pos="9638"/>
      </w:tabs>
    </w:pPr>
  </w:style>
  <w:style w:type="paragraph" w:styleId="afa">
    <w:name w:val="index heading"/>
    <w:basedOn w:val="a0"/>
    <w:pPr>
      <w:suppressLineNumbers/>
    </w:pPr>
    <w:rPr>
      <w:bCs/>
      <w:szCs w:val="32"/>
    </w:rPr>
  </w:style>
  <w:style w:type="paragraph" w:customStyle="1" w:styleId="afb">
    <w:name w:val="表格索引標題"/>
    <w:basedOn w:val="a0"/>
    <w:qFormat/>
    <w:pPr>
      <w:suppressLineNumbers/>
      <w:spacing w:line="240" w:lineRule="auto"/>
    </w:pPr>
    <w:rPr>
      <w:bCs/>
      <w:sz w:val="28"/>
      <w:szCs w:val="32"/>
    </w:rPr>
  </w:style>
  <w:style w:type="paragraph" w:customStyle="1" w:styleId="afc">
    <w:name w:val="表格標題"/>
    <w:basedOn w:val="af6"/>
    <w:qFormat/>
    <w:pPr>
      <w:jc w:val="center"/>
    </w:pPr>
    <w:rPr>
      <w:b/>
      <w:bCs/>
    </w:rPr>
  </w:style>
  <w:style w:type="paragraph" w:customStyle="1" w:styleId="afd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e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0">
    <w:name w:val="外框內容"/>
    <w:basedOn w:val="a"/>
    <w:qFormat/>
  </w:style>
  <w:style w:type="paragraph" w:styleId="aff1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2">
    <w:name w:val="TOC Heading"/>
    <w:basedOn w:val="a0"/>
    <w:qFormat/>
    <w:pPr>
      <w:suppressLineNumbers/>
      <w:spacing w:after="113"/>
      <w:jc w:val="center"/>
    </w:pPr>
    <w:rPr>
      <w:bCs/>
      <w:sz w:val="40"/>
      <w:szCs w:val="32"/>
    </w:rPr>
  </w:style>
  <w:style w:type="paragraph" w:customStyle="1" w:styleId="aff3">
    <w:name w:val="文字"/>
    <w:basedOn w:val="af7"/>
    <w:qFormat/>
  </w:style>
  <w:style w:type="paragraph" w:styleId="12">
    <w:name w:val="toc 1"/>
    <w:basedOn w:val="af9"/>
    <w:pPr>
      <w:tabs>
        <w:tab w:val="right" w:leader="dot" w:pos="9638"/>
      </w:tabs>
    </w:pPr>
  </w:style>
  <w:style w:type="paragraph" w:styleId="7">
    <w:name w:val="toc 7"/>
    <w:basedOn w:val="af9"/>
    <w:pPr>
      <w:tabs>
        <w:tab w:val="right" w:leader="dot" w:pos="9638"/>
      </w:tabs>
      <w:ind w:left="1698"/>
    </w:pPr>
  </w:style>
  <w:style w:type="paragraph" w:styleId="20">
    <w:name w:val="toc 2"/>
    <w:basedOn w:val="af9"/>
    <w:pPr>
      <w:tabs>
        <w:tab w:val="right" w:leader="dot" w:pos="9638"/>
      </w:tabs>
      <w:ind w:left="283"/>
    </w:pPr>
  </w:style>
  <w:style w:type="paragraph" w:styleId="3">
    <w:name w:val="toc 3"/>
    <w:basedOn w:val="af9"/>
    <w:pPr>
      <w:tabs>
        <w:tab w:val="right" w:leader="dot" w:pos="9638"/>
      </w:tabs>
      <w:ind w:left="566"/>
    </w:pPr>
  </w:style>
  <w:style w:type="paragraph" w:styleId="4">
    <w:name w:val="toc 4"/>
    <w:basedOn w:val="af9"/>
    <w:pPr>
      <w:tabs>
        <w:tab w:val="right" w:leader="dot" w:pos="9638"/>
      </w:tabs>
      <w:ind w:left="849"/>
    </w:pPr>
  </w:style>
  <w:style w:type="paragraph" w:styleId="5">
    <w:name w:val="toc 5"/>
    <w:basedOn w:val="af9"/>
    <w:pPr>
      <w:tabs>
        <w:tab w:val="right" w:leader="dot" w:pos="9638"/>
      </w:tabs>
      <w:ind w:left="1132"/>
    </w:pPr>
  </w:style>
  <w:style w:type="paragraph" w:styleId="6">
    <w:name w:val="toc 6"/>
    <w:basedOn w:val="af9"/>
    <w:pPr>
      <w:tabs>
        <w:tab w:val="right" w:leader="dot" w:pos="9638"/>
      </w:tabs>
      <w:ind w:left="1415"/>
    </w:pPr>
  </w:style>
  <w:style w:type="paragraph" w:styleId="8">
    <w:name w:val="toc 8"/>
    <w:basedOn w:val="af9"/>
    <w:pPr>
      <w:tabs>
        <w:tab w:val="right" w:leader="dot" w:pos="9638"/>
      </w:tabs>
      <w:ind w:left="1981"/>
    </w:pPr>
  </w:style>
  <w:style w:type="paragraph" w:styleId="9">
    <w:name w:val="toc 9"/>
    <w:basedOn w:val="af9"/>
    <w:pPr>
      <w:tabs>
        <w:tab w:val="right" w:leader="dot" w:pos="9638"/>
      </w:tabs>
      <w:ind w:left="2264"/>
    </w:pPr>
  </w:style>
  <w:style w:type="paragraph" w:customStyle="1" w:styleId="100">
    <w:name w:val="目次 10"/>
    <w:basedOn w:val="af9"/>
    <w:qFormat/>
    <w:pPr>
      <w:tabs>
        <w:tab w:val="right" w:leader="dot" w:pos="9638"/>
      </w:tabs>
      <w:ind w:left="2547"/>
    </w:pPr>
  </w:style>
  <w:style w:type="paragraph" w:customStyle="1" w:styleId="13">
    <w:name w:val="表格內文1"/>
    <w:qFormat/>
    <w:rPr>
      <w:rFonts w:eastAsia="新細明體" w:cs="Times New Roman"/>
      <w:sz w:val="20"/>
      <w:szCs w:val="20"/>
      <w:lang w:bidi="ar-SA"/>
    </w:rPr>
  </w:style>
  <w:style w:type="paragraph" w:styleId="aff4">
    <w:name w:val="List Paragraph"/>
    <w:basedOn w:val="a"/>
    <w:qFormat/>
    <w:pPr>
      <w:ind w:left="480"/>
    </w:pPr>
  </w:style>
  <w:style w:type="paragraph" w:customStyle="1" w:styleId="14">
    <w:name w:val="引文1"/>
    <w:basedOn w:val="a"/>
    <w:qFormat/>
    <w:pPr>
      <w:spacing w:after="283"/>
      <w:ind w:left="567" w:right="567"/>
    </w:pPr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A0">
    <w:name w:val="編號12PT -- 壹、  一、  (一)   1.  (1)  甲、  (甲)  A.  (A)"/>
    <w:qFormat/>
  </w:style>
  <w:style w:type="numbering" w:customStyle="1" w:styleId="12PT--11AAa0">
    <w:name w:val="編號12PT -- (一)  1.   (1)  A.   (A)  a."/>
    <w:qFormat/>
  </w:style>
  <w:style w:type="numbering" w:customStyle="1" w:styleId="12PT--11AA1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A2">
    <w:name w:val="編號14PT -- 壹、  一、  (一)   1.  (1)  甲、  (甲)  A.  (A)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A1">
    <w:name w:val="編號16PT -- 壹、  一、  (一)   1.    (1)   甲、  (甲)  A.  (A)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A1">
    <w:name w:val="編號18PT -- 壹、  一、  (一)   1.    (1)   甲、  (甲)  A.  (A)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細明體"/>
        <a:cs typeface="DejaVu Sans"/>
      </a:majorFont>
      <a:minorFont>
        <a:latin typeface="Arial"/>
        <a:ea typeface="新細明體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奕祥資訊</dc:creator>
  <dc:description/>
  <cp:lastModifiedBy>奕祥資訊</cp:lastModifiedBy>
  <cp:revision>2</cp:revision>
  <cp:lastPrinted>2024-12-19T19:39:00Z</cp:lastPrinted>
  <dcterms:created xsi:type="dcterms:W3CDTF">2025-01-02T08:46:00Z</dcterms:created>
  <dcterms:modified xsi:type="dcterms:W3CDTF">2025-01-02T08:46:00Z</dcterms:modified>
  <dc:language>zh-TW</dc:language>
</cp:coreProperties>
</file>