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F1" w:rsidRPr="00835668" w:rsidRDefault="001474F1" w:rsidP="001474F1">
      <w:pPr>
        <w:widowControl/>
        <w:rPr>
          <w:rFonts w:eastAsia="標楷體"/>
          <w:b/>
          <w:sz w:val="32"/>
          <w:szCs w:val="32"/>
        </w:rPr>
      </w:pPr>
      <w:r w:rsidRPr="00835668">
        <w:rPr>
          <w:rFonts w:eastAsia="標楷體"/>
          <w:b/>
          <w:noProof/>
          <w:sz w:val="32"/>
          <w:szCs w:val="32"/>
        </w:rPr>
        <w:drawing>
          <wp:anchor distT="0" distB="0" distL="114300" distR="114300" simplePos="0" relativeHeight="251659264" behindDoc="0" locked="0" layoutInCell="1" allowOverlap="1" wp14:anchorId="49A7B260" wp14:editId="4172EF08">
            <wp:simplePos x="723900" y="735965"/>
            <wp:positionH relativeFrom="margin">
              <wp:align>center</wp:align>
            </wp:positionH>
            <wp:positionV relativeFrom="margin">
              <wp:align>center</wp:align>
            </wp:positionV>
            <wp:extent cx="6103620" cy="8169910"/>
            <wp:effectExtent l="0" t="0" r="11430" b="0"/>
            <wp:wrapSquare wrapText="bothSides"/>
            <wp:docPr id="695" name="資料庫圖表 6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V relativeFrom="margin">
              <wp14:pctHeight>0</wp14:pctHeight>
            </wp14:sizeRelV>
          </wp:anchor>
        </w:drawing>
      </w:r>
    </w:p>
    <w:p w:rsidR="001474F1" w:rsidRPr="00835668" w:rsidRDefault="001474F1" w:rsidP="001474F1">
      <w:pPr>
        <w:spacing w:line="520" w:lineRule="exact"/>
        <w:rPr>
          <w:rFonts w:eastAsia="標楷體"/>
          <w:b/>
          <w:sz w:val="32"/>
          <w:szCs w:val="32"/>
        </w:rPr>
      </w:pPr>
      <w:r w:rsidRPr="00835668">
        <w:rPr>
          <w:rFonts w:eastAsia="標楷體" w:hint="eastAsia"/>
          <w:b/>
          <w:sz w:val="32"/>
          <w:szCs w:val="32"/>
        </w:rPr>
        <w:lastRenderedPageBreak/>
        <w:t>「公用天然氣事業天然氣售價及基本收費</w:t>
      </w:r>
      <w:r>
        <w:rPr>
          <w:rFonts w:eastAsia="標楷體" w:hint="eastAsia"/>
          <w:b/>
          <w:sz w:val="32"/>
          <w:szCs w:val="32"/>
        </w:rPr>
        <w:t>之核定」</w:t>
      </w:r>
      <w:r w:rsidRPr="00835668">
        <w:rPr>
          <w:rFonts w:eastAsia="標楷體" w:hint="eastAsia"/>
          <w:b/>
          <w:sz w:val="32"/>
          <w:szCs w:val="32"/>
        </w:rPr>
        <w:t>作業程序</w:t>
      </w:r>
    </w:p>
    <w:p w:rsidR="001474F1" w:rsidRPr="00835668" w:rsidRDefault="001474F1" w:rsidP="001474F1">
      <w:pPr>
        <w:tabs>
          <w:tab w:val="left" w:pos="180"/>
        </w:tabs>
        <w:spacing w:beforeLines="50" w:before="120" w:line="480" w:lineRule="exact"/>
        <w:ind w:left="561" w:hangingChars="200" w:hanging="561"/>
        <w:rPr>
          <w:rFonts w:eastAsia="標楷體"/>
          <w:b/>
          <w:sz w:val="28"/>
          <w:szCs w:val="28"/>
        </w:rPr>
      </w:pPr>
      <w:r w:rsidRPr="00835668">
        <w:rPr>
          <w:rFonts w:eastAsia="標楷體" w:hint="eastAsia"/>
          <w:b/>
          <w:sz w:val="28"/>
          <w:szCs w:val="28"/>
        </w:rPr>
        <w:t>（一）法源依據</w:t>
      </w:r>
      <w:r>
        <w:rPr>
          <w:rFonts w:eastAsia="標楷體" w:hint="eastAsia"/>
          <w:b/>
          <w:sz w:val="28"/>
          <w:szCs w:val="28"/>
        </w:rPr>
        <w:t>：</w:t>
      </w:r>
    </w:p>
    <w:p w:rsidR="001474F1" w:rsidRPr="00835668" w:rsidRDefault="001474F1" w:rsidP="001474F1">
      <w:pPr>
        <w:tabs>
          <w:tab w:val="left" w:pos="993"/>
        </w:tabs>
        <w:spacing w:beforeLines="50" w:before="120" w:line="440" w:lineRule="exact"/>
        <w:rPr>
          <w:rFonts w:eastAsia="標楷體"/>
          <w:sz w:val="28"/>
          <w:szCs w:val="28"/>
        </w:rPr>
      </w:pPr>
      <w:r w:rsidRPr="00835668">
        <w:rPr>
          <w:rFonts w:eastAsia="標楷體" w:hint="eastAsia"/>
          <w:sz w:val="28"/>
          <w:szCs w:val="28"/>
        </w:rPr>
        <w:t>「天然氣事業法」第三十四條第一項</w:t>
      </w:r>
      <w:r>
        <w:rPr>
          <w:rFonts w:eastAsia="標楷體" w:hint="eastAsia"/>
          <w:sz w:val="28"/>
          <w:szCs w:val="28"/>
        </w:rPr>
        <w:t>及第二項</w:t>
      </w:r>
      <w:r w:rsidRPr="00835668">
        <w:rPr>
          <w:rFonts w:eastAsia="標楷體" w:hint="eastAsia"/>
          <w:sz w:val="28"/>
          <w:szCs w:val="28"/>
        </w:rPr>
        <w:t>：</w:t>
      </w:r>
    </w:p>
    <w:p w:rsidR="001474F1" w:rsidRPr="008F41B4" w:rsidRDefault="001474F1" w:rsidP="001474F1">
      <w:pPr>
        <w:tabs>
          <w:tab w:val="left" w:pos="180"/>
        </w:tabs>
        <w:spacing w:beforeLines="50" w:before="120" w:line="480" w:lineRule="exact"/>
        <w:ind w:leftChars="233" w:left="559" w:firstLineChars="2" w:firstLine="6"/>
        <w:rPr>
          <w:rFonts w:eastAsia="標楷體"/>
          <w:sz w:val="28"/>
          <w:szCs w:val="28"/>
        </w:rPr>
      </w:pPr>
      <w:r w:rsidRPr="008F41B4">
        <w:rPr>
          <w:rFonts w:eastAsia="標楷體" w:hint="eastAsia"/>
          <w:sz w:val="28"/>
          <w:szCs w:val="28"/>
        </w:rPr>
        <w:t>公用天然氣事業供應家庭、商業及服務業用戶之天然氣售價及基本收費，應依規定之計算準則核算，並檢具相關文件，報經直轄市、縣（市）主管機關轉請中央主管機關核定後實施；其調整售價或基本收費時，亦同。</w:t>
      </w:r>
    </w:p>
    <w:p w:rsidR="001474F1" w:rsidRPr="00835668" w:rsidRDefault="001474F1" w:rsidP="001474F1">
      <w:pPr>
        <w:tabs>
          <w:tab w:val="left" w:pos="180"/>
        </w:tabs>
        <w:spacing w:beforeLines="50" w:before="120" w:line="480" w:lineRule="exact"/>
        <w:ind w:leftChars="233" w:left="559" w:firstLineChars="2" w:firstLine="6"/>
        <w:rPr>
          <w:rFonts w:eastAsia="標楷體"/>
          <w:sz w:val="28"/>
          <w:szCs w:val="28"/>
        </w:rPr>
      </w:pPr>
      <w:r w:rsidRPr="008F41B4">
        <w:rPr>
          <w:rFonts w:eastAsia="標楷體" w:hint="eastAsia"/>
          <w:sz w:val="28"/>
          <w:szCs w:val="28"/>
        </w:rPr>
        <w:t>依前項規定核定之天然氣售價及基本收費，中央主管機關得令公用天然氣事業重新核算，並依前項規定程序報請核定。</w:t>
      </w:r>
    </w:p>
    <w:p w:rsidR="001474F1" w:rsidRPr="00835668" w:rsidRDefault="001474F1" w:rsidP="001474F1">
      <w:pPr>
        <w:tabs>
          <w:tab w:val="left" w:pos="180"/>
        </w:tabs>
        <w:spacing w:beforeLines="50" w:before="120" w:line="480" w:lineRule="exact"/>
        <w:ind w:left="561" w:hangingChars="200" w:hanging="561"/>
        <w:rPr>
          <w:rFonts w:eastAsia="標楷體"/>
          <w:b/>
          <w:sz w:val="28"/>
          <w:szCs w:val="28"/>
        </w:rPr>
      </w:pPr>
      <w:r w:rsidRPr="00835668">
        <w:rPr>
          <w:rFonts w:eastAsia="標楷體" w:hint="eastAsia"/>
          <w:b/>
          <w:sz w:val="28"/>
          <w:szCs w:val="28"/>
        </w:rPr>
        <w:t>（二）審查方式：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6"/>
        <w:gridCol w:w="6516"/>
      </w:tblGrid>
      <w:tr w:rsidR="001474F1" w:rsidRPr="00835668" w:rsidTr="00147E36">
        <w:trPr>
          <w:trHeight w:val="4195"/>
        </w:trPr>
        <w:tc>
          <w:tcPr>
            <w:tcW w:w="1177" w:type="pct"/>
            <w:vAlign w:val="center"/>
          </w:tcPr>
          <w:p w:rsidR="001474F1" w:rsidRPr="00835668" w:rsidRDefault="001474F1" w:rsidP="001474F1">
            <w:pPr>
              <w:numPr>
                <w:ilvl w:val="0"/>
                <w:numId w:val="4"/>
              </w:numPr>
              <w:tabs>
                <w:tab w:val="left" w:pos="180"/>
              </w:tabs>
              <w:spacing w:beforeLines="50" w:before="120" w:afterLines="50" w:after="120"/>
              <w:ind w:left="0" w:firstLine="0"/>
              <w:jc w:val="both"/>
              <w:rPr>
                <w:rFonts w:eastAsia="標楷體"/>
                <w:sz w:val="28"/>
                <w:szCs w:val="28"/>
              </w:rPr>
            </w:pPr>
            <w:r w:rsidRPr="00835668">
              <w:rPr>
                <w:rFonts w:eastAsia="標楷體" w:hint="eastAsia"/>
                <w:sz w:val="28"/>
                <w:szCs w:val="28"/>
              </w:rPr>
              <w:t>程序</w:t>
            </w:r>
          </w:p>
        </w:tc>
        <w:tc>
          <w:tcPr>
            <w:tcW w:w="3823" w:type="pct"/>
            <w:vAlign w:val="center"/>
          </w:tcPr>
          <w:p w:rsidR="001474F1" w:rsidRPr="00835668" w:rsidRDefault="001474F1" w:rsidP="00147E36">
            <w:pPr>
              <w:tabs>
                <w:tab w:val="left" w:pos="180"/>
              </w:tabs>
              <w:spacing w:beforeLines="50" w:before="120" w:afterLines="50" w:after="120"/>
              <w:jc w:val="both"/>
              <w:rPr>
                <w:rFonts w:eastAsia="標楷體"/>
                <w:sz w:val="28"/>
                <w:szCs w:val="28"/>
              </w:rPr>
            </w:pPr>
            <w:r w:rsidRPr="00835668">
              <w:rPr>
                <w:rFonts w:eastAsia="標楷體" w:hint="eastAsia"/>
                <w:sz w:val="28"/>
                <w:szCs w:val="28"/>
              </w:rPr>
              <w:t>公用天然氣事業有調整</w:t>
            </w:r>
            <w:r>
              <w:rPr>
                <w:rFonts w:eastAsia="標楷體" w:hint="eastAsia"/>
                <w:sz w:val="28"/>
                <w:szCs w:val="28"/>
              </w:rPr>
              <w:t>天然氣</w:t>
            </w:r>
            <w:r w:rsidRPr="00835668">
              <w:rPr>
                <w:rFonts w:eastAsia="標楷體" w:hint="eastAsia"/>
                <w:sz w:val="28"/>
                <w:szCs w:val="28"/>
              </w:rPr>
              <w:t>售價及基本收費之必要時，報請主管機關核定：</w:t>
            </w:r>
          </w:p>
          <w:p w:rsidR="001474F1" w:rsidRDefault="001474F1" w:rsidP="001474F1">
            <w:pPr>
              <w:numPr>
                <w:ilvl w:val="0"/>
                <w:numId w:val="1"/>
              </w:numPr>
              <w:spacing w:beforeLines="50" w:before="120" w:afterLines="50" w:after="120"/>
              <w:ind w:left="420" w:hanging="420"/>
              <w:jc w:val="both"/>
              <w:rPr>
                <w:rFonts w:eastAsia="標楷體"/>
                <w:sz w:val="28"/>
                <w:szCs w:val="28"/>
              </w:rPr>
            </w:pPr>
            <w:r w:rsidRPr="00835668">
              <w:rPr>
                <w:rFonts w:eastAsia="標楷體" w:hint="eastAsia"/>
                <w:sz w:val="28"/>
                <w:szCs w:val="28"/>
              </w:rPr>
              <w:t>公用天然氣事業檢具「公用天然氣事業天然氣售價及基本收費計算準則」所規定之各項文件及佐證資料，報經直轄市、縣（市）主管機關轉請中央主管機關。</w:t>
            </w:r>
          </w:p>
          <w:p w:rsidR="001474F1" w:rsidRPr="00835668" w:rsidRDefault="001474F1" w:rsidP="001474F1">
            <w:pPr>
              <w:numPr>
                <w:ilvl w:val="0"/>
                <w:numId w:val="1"/>
              </w:numPr>
              <w:spacing w:beforeLines="50" w:before="120" w:afterLines="50" w:after="120"/>
              <w:ind w:left="420" w:hanging="420"/>
              <w:jc w:val="both"/>
              <w:rPr>
                <w:rFonts w:eastAsia="標楷體"/>
                <w:sz w:val="28"/>
                <w:szCs w:val="28"/>
              </w:rPr>
            </w:pPr>
            <w:r w:rsidRPr="00835668">
              <w:rPr>
                <w:rFonts w:eastAsia="標楷體" w:hint="eastAsia"/>
                <w:sz w:val="28"/>
                <w:szCs w:val="28"/>
              </w:rPr>
              <w:t>能</w:t>
            </w:r>
            <w:r w:rsidRPr="009706F2">
              <w:rPr>
                <w:rFonts w:eastAsia="標楷體" w:hint="eastAsia"/>
                <w:sz w:val="28"/>
                <w:szCs w:val="28"/>
              </w:rPr>
              <w:t>源局</w:t>
            </w:r>
            <w:r w:rsidRPr="00475165">
              <w:rPr>
                <w:rFonts w:eastAsia="標楷體" w:hint="eastAsia"/>
                <w:sz w:val="28"/>
                <w:szCs w:val="28"/>
              </w:rPr>
              <w:t>審查</w:t>
            </w:r>
            <w:r>
              <w:rPr>
                <w:rFonts w:eastAsia="標楷體" w:hint="eastAsia"/>
                <w:sz w:val="28"/>
                <w:szCs w:val="28"/>
              </w:rPr>
              <w:t>公用天然氣事業檢具資料是否齊備及適當。</w:t>
            </w:r>
          </w:p>
          <w:p w:rsidR="001474F1" w:rsidRDefault="001474F1" w:rsidP="001474F1">
            <w:pPr>
              <w:numPr>
                <w:ilvl w:val="0"/>
                <w:numId w:val="1"/>
              </w:numPr>
              <w:spacing w:beforeLines="50" w:before="120" w:afterLines="50" w:after="120"/>
              <w:ind w:left="420" w:hanging="420"/>
              <w:jc w:val="both"/>
              <w:rPr>
                <w:rFonts w:eastAsia="標楷體"/>
                <w:sz w:val="28"/>
                <w:szCs w:val="28"/>
              </w:rPr>
            </w:pPr>
            <w:r w:rsidRPr="00835668">
              <w:rPr>
                <w:rFonts w:eastAsia="標楷體" w:hint="eastAsia"/>
                <w:sz w:val="28"/>
                <w:szCs w:val="28"/>
              </w:rPr>
              <w:t>能</w:t>
            </w:r>
            <w:r w:rsidRPr="009706F2">
              <w:rPr>
                <w:rFonts w:eastAsia="標楷體" w:hint="eastAsia"/>
                <w:sz w:val="28"/>
                <w:szCs w:val="28"/>
              </w:rPr>
              <w:t>源局聘請二至三位會計學者或專家進行書面審查及</w:t>
            </w:r>
            <w:r w:rsidRPr="00835668">
              <w:rPr>
                <w:rFonts w:eastAsia="標楷體" w:hint="eastAsia"/>
                <w:sz w:val="28"/>
                <w:szCs w:val="28"/>
              </w:rPr>
              <w:t>價格核算</w:t>
            </w:r>
            <w:r>
              <w:rPr>
                <w:rFonts w:eastAsia="標楷體" w:hint="eastAsia"/>
                <w:sz w:val="28"/>
                <w:szCs w:val="28"/>
              </w:rPr>
              <w:t>，</w:t>
            </w:r>
            <w:r w:rsidRPr="009706F2">
              <w:rPr>
                <w:rFonts w:eastAsia="標楷體" w:hint="eastAsia"/>
                <w:sz w:val="28"/>
                <w:szCs w:val="28"/>
              </w:rPr>
              <w:t>書面</w:t>
            </w:r>
            <w:r>
              <w:rPr>
                <w:rFonts w:eastAsia="標楷體" w:hint="eastAsia"/>
                <w:sz w:val="28"/>
                <w:szCs w:val="28"/>
              </w:rPr>
              <w:t>審查之會計學者或專家應核算天然氣售價及基本收費調整後之金額。</w:t>
            </w:r>
          </w:p>
          <w:p w:rsidR="001474F1" w:rsidRPr="00835668" w:rsidRDefault="001474F1" w:rsidP="001474F1">
            <w:pPr>
              <w:numPr>
                <w:ilvl w:val="0"/>
                <w:numId w:val="1"/>
              </w:numPr>
              <w:spacing w:beforeLines="50" w:before="120" w:afterLines="50" w:after="120"/>
              <w:ind w:left="420" w:hanging="420"/>
              <w:jc w:val="both"/>
              <w:rPr>
                <w:rFonts w:eastAsia="標楷體"/>
                <w:sz w:val="28"/>
                <w:szCs w:val="28"/>
              </w:rPr>
            </w:pPr>
            <w:r>
              <w:rPr>
                <w:rFonts w:eastAsia="標楷體" w:hint="eastAsia"/>
                <w:sz w:val="28"/>
                <w:szCs w:val="28"/>
              </w:rPr>
              <w:t>能源局就會計學者或專家核算之金額進行討論，以做</w:t>
            </w:r>
            <w:r w:rsidRPr="009706F2">
              <w:rPr>
                <w:rFonts w:eastAsia="標楷體" w:hint="eastAsia"/>
                <w:sz w:val="28"/>
                <w:szCs w:val="28"/>
              </w:rPr>
              <w:t>成初審意見</w:t>
            </w:r>
            <w:r w:rsidRPr="00835668">
              <w:rPr>
                <w:rFonts w:eastAsia="標楷體" w:hint="eastAsia"/>
                <w:sz w:val="28"/>
                <w:szCs w:val="28"/>
              </w:rPr>
              <w:t>。</w:t>
            </w:r>
          </w:p>
          <w:p w:rsidR="001474F1" w:rsidRDefault="001474F1" w:rsidP="001474F1">
            <w:pPr>
              <w:numPr>
                <w:ilvl w:val="0"/>
                <w:numId w:val="1"/>
              </w:numPr>
              <w:spacing w:beforeLines="50" w:before="120" w:afterLines="50" w:after="120"/>
              <w:ind w:left="420" w:hanging="420"/>
              <w:jc w:val="both"/>
              <w:rPr>
                <w:rFonts w:eastAsia="標楷體"/>
                <w:sz w:val="28"/>
                <w:szCs w:val="28"/>
              </w:rPr>
            </w:pPr>
            <w:r>
              <w:rPr>
                <w:rFonts w:eastAsia="標楷體" w:hint="eastAsia"/>
                <w:sz w:val="28"/>
                <w:szCs w:val="28"/>
              </w:rPr>
              <w:t>能源局於</w:t>
            </w:r>
            <w:r w:rsidRPr="000C7301">
              <w:rPr>
                <w:rFonts w:eastAsia="標楷體" w:hint="eastAsia"/>
                <w:sz w:val="28"/>
                <w:szCs w:val="28"/>
              </w:rPr>
              <w:t>「天然氣價格計算方式審議會」</w:t>
            </w:r>
            <w:r>
              <w:rPr>
                <w:rFonts w:eastAsia="標楷體" w:hint="eastAsia"/>
                <w:sz w:val="28"/>
                <w:szCs w:val="28"/>
              </w:rPr>
              <w:t>召開前</w:t>
            </w:r>
            <w:r w:rsidRPr="00835668">
              <w:rPr>
                <w:rFonts w:eastAsia="標楷體" w:hint="eastAsia"/>
                <w:sz w:val="28"/>
                <w:szCs w:val="28"/>
              </w:rPr>
              <w:t>，必要時得</w:t>
            </w:r>
            <w:r>
              <w:rPr>
                <w:rFonts w:eastAsia="標楷體" w:hint="eastAsia"/>
                <w:sz w:val="28"/>
                <w:szCs w:val="28"/>
              </w:rPr>
              <w:t>召開工作會議，</w:t>
            </w:r>
            <w:r w:rsidRPr="00835668">
              <w:rPr>
                <w:rFonts w:eastAsia="標楷體" w:hint="eastAsia"/>
                <w:sz w:val="28"/>
                <w:szCs w:val="28"/>
              </w:rPr>
              <w:t>邀請公用天然氣事業進行簡</w:t>
            </w:r>
            <w:r>
              <w:rPr>
                <w:rFonts w:eastAsia="標楷體" w:hint="eastAsia"/>
                <w:sz w:val="28"/>
                <w:szCs w:val="28"/>
              </w:rPr>
              <w:t>報說明</w:t>
            </w:r>
            <w:r w:rsidRPr="00835668">
              <w:rPr>
                <w:rFonts w:eastAsia="標楷體" w:hint="eastAsia"/>
                <w:sz w:val="28"/>
                <w:szCs w:val="28"/>
              </w:rPr>
              <w:t>。</w:t>
            </w:r>
          </w:p>
          <w:p w:rsidR="001474F1" w:rsidRPr="00835668" w:rsidRDefault="001474F1" w:rsidP="001474F1">
            <w:pPr>
              <w:numPr>
                <w:ilvl w:val="0"/>
                <w:numId w:val="1"/>
              </w:numPr>
              <w:spacing w:beforeLines="50" w:before="120" w:afterLines="50" w:after="120"/>
              <w:ind w:left="420" w:hanging="420"/>
              <w:jc w:val="both"/>
              <w:rPr>
                <w:rFonts w:eastAsia="標楷體"/>
                <w:sz w:val="28"/>
                <w:szCs w:val="28"/>
              </w:rPr>
            </w:pPr>
            <w:r>
              <w:rPr>
                <w:rFonts w:eastAsia="標楷體" w:hint="eastAsia"/>
                <w:sz w:val="28"/>
                <w:szCs w:val="28"/>
              </w:rPr>
              <w:t>經濟部</w:t>
            </w:r>
            <w:r w:rsidRPr="00835668">
              <w:rPr>
                <w:rFonts w:eastAsia="標楷體" w:hint="eastAsia"/>
                <w:sz w:val="28"/>
                <w:szCs w:val="28"/>
              </w:rPr>
              <w:t>召開</w:t>
            </w:r>
            <w:r w:rsidRPr="000C7301">
              <w:rPr>
                <w:rFonts w:eastAsia="標楷體" w:hint="eastAsia"/>
                <w:sz w:val="28"/>
                <w:szCs w:val="28"/>
              </w:rPr>
              <w:t>「天然氣價格計算方式審議會」</w:t>
            </w:r>
            <w:r>
              <w:rPr>
                <w:rFonts w:eastAsia="標楷體" w:hint="eastAsia"/>
                <w:sz w:val="28"/>
                <w:szCs w:val="28"/>
              </w:rPr>
              <w:t>進行審查，決議調整金額。</w:t>
            </w:r>
          </w:p>
        </w:tc>
      </w:tr>
      <w:tr w:rsidR="001474F1" w:rsidRPr="00835668" w:rsidTr="00147E36">
        <w:trPr>
          <w:trHeight w:val="6009"/>
        </w:trPr>
        <w:tc>
          <w:tcPr>
            <w:tcW w:w="1177" w:type="pct"/>
            <w:vAlign w:val="center"/>
          </w:tcPr>
          <w:p w:rsidR="001474F1" w:rsidRDefault="001474F1" w:rsidP="001474F1">
            <w:pPr>
              <w:numPr>
                <w:ilvl w:val="0"/>
                <w:numId w:val="4"/>
              </w:numPr>
              <w:tabs>
                <w:tab w:val="left" w:pos="180"/>
              </w:tabs>
              <w:spacing w:beforeLines="50" w:before="120" w:afterLines="50" w:after="120"/>
              <w:ind w:left="0" w:firstLine="0"/>
              <w:jc w:val="both"/>
              <w:rPr>
                <w:rFonts w:eastAsia="標楷體"/>
                <w:sz w:val="28"/>
                <w:szCs w:val="28"/>
              </w:rPr>
            </w:pPr>
            <w:r w:rsidRPr="00835668">
              <w:rPr>
                <w:rFonts w:eastAsia="標楷體" w:hint="eastAsia"/>
                <w:sz w:val="28"/>
                <w:szCs w:val="28"/>
              </w:rPr>
              <w:lastRenderedPageBreak/>
              <w:t>項目及內容</w:t>
            </w:r>
          </w:p>
          <w:p w:rsidR="001474F1" w:rsidRPr="00245C42" w:rsidRDefault="001474F1" w:rsidP="00147E36">
            <w:pPr>
              <w:tabs>
                <w:tab w:val="left" w:pos="180"/>
              </w:tabs>
              <w:spacing w:beforeLines="50" w:before="120" w:afterLines="50" w:after="120"/>
              <w:jc w:val="center"/>
              <w:rPr>
                <w:rFonts w:eastAsia="標楷體"/>
                <w:sz w:val="28"/>
                <w:szCs w:val="28"/>
              </w:rPr>
            </w:pPr>
            <w:r w:rsidRPr="00246AFB">
              <w:rPr>
                <w:rFonts w:eastAsia="標楷體" w:hint="eastAsia"/>
                <w:color w:val="000000" w:themeColor="text1"/>
                <w:sz w:val="28"/>
                <w:szCs w:val="28"/>
              </w:rPr>
              <w:t>（參見範本）</w:t>
            </w:r>
          </w:p>
        </w:tc>
        <w:tc>
          <w:tcPr>
            <w:tcW w:w="3823" w:type="pct"/>
            <w:vAlign w:val="center"/>
          </w:tcPr>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調整後之金額及其說明</w:t>
            </w:r>
            <w:r w:rsidRPr="00246AFB">
              <w:rPr>
                <w:rFonts w:eastAsia="標楷體" w:hint="eastAsia"/>
                <w:color w:val="000000" w:themeColor="text1"/>
                <w:sz w:val="28"/>
                <w:szCs w:val="28"/>
              </w:rPr>
              <w:t>；</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事業總營運成本分離表（最近</w:t>
            </w:r>
            <w:proofErr w:type="gramStart"/>
            <w:r w:rsidRPr="009706F2">
              <w:rPr>
                <w:rFonts w:eastAsia="標楷體" w:hint="eastAsia"/>
                <w:sz w:val="28"/>
                <w:szCs w:val="28"/>
              </w:rPr>
              <w:t>三</w:t>
            </w:r>
            <w:proofErr w:type="gramEnd"/>
            <w:r w:rsidRPr="009706F2">
              <w:rPr>
                <w:rFonts w:eastAsia="標楷體" w:hint="eastAsia"/>
                <w:sz w:val="28"/>
                <w:szCs w:val="28"/>
              </w:rPr>
              <w:t>年度及平均數、預計未來</w:t>
            </w:r>
            <w:proofErr w:type="gramStart"/>
            <w:r w:rsidRPr="009706F2">
              <w:rPr>
                <w:rFonts w:eastAsia="標楷體" w:hint="eastAsia"/>
                <w:sz w:val="28"/>
                <w:szCs w:val="28"/>
              </w:rPr>
              <w:t>三</w:t>
            </w:r>
            <w:proofErr w:type="gramEnd"/>
            <w:r w:rsidRPr="009706F2">
              <w:rPr>
                <w:rFonts w:eastAsia="標楷體" w:hint="eastAsia"/>
                <w:sz w:val="28"/>
                <w:szCs w:val="28"/>
              </w:rPr>
              <w:t>年度及平均數）；</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事業資金成本計算表（最近</w:t>
            </w:r>
            <w:proofErr w:type="gramStart"/>
            <w:r w:rsidRPr="009706F2">
              <w:rPr>
                <w:rFonts w:eastAsia="標楷體" w:hint="eastAsia"/>
                <w:sz w:val="28"/>
                <w:szCs w:val="28"/>
              </w:rPr>
              <w:t>三</w:t>
            </w:r>
            <w:proofErr w:type="gramEnd"/>
            <w:r w:rsidRPr="009706F2">
              <w:rPr>
                <w:rFonts w:eastAsia="標楷體" w:hint="eastAsia"/>
                <w:sz w:val="28"/>
                <w:szCs w:val="28"/>
              </w:rPr>
              <w:t>年度及平均數、預計未來</w:t>
            </w:r>
            <w:proofErr w:type="gramStart"/>
            <w:r w:rsidRPr="009706F2">
              <w:rPr>
                <w:rFonts w:eastAsia="標楷體" w:hint="eastAsia"/>
                <w:sz w:val="28"/>
                <w:szCs w:val="28"/>
              </w:rPr>
              <w:t>三</w:t>
            </w:r>
            <w:proofErr w:type="gramEnd"/>
            <w:r w:rsidRPr="009706F2">
              <w:rPr>
                <w:rFonts w:eastAsia="標楷體" w:hint="eastAsia"/>
                <w:sz w:val="28"/>
                <w:szCs w:val="28"/>
              </w:rPr>
              <w:t>年度及平均數）；</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color w:val="000000" w:themeColor="text1"/>
                <w:sz w:val="28"/>
              </w:rPr>
              <w:t>事業氣體費率計算表，包括預計未來配氣量及用戶數（預計未來</w:t>
            </w:r>
            <w:proofErr w:type="gramStart"/>
            <w:r>
              <w:rPr>
                <w:rFonts w:eastAsia="標楷體" w:hint="eastAsia"/>
                <w:color w:val="000000" w:themeColor="text1"/>
                <w:sz w:val="28"/>
              </w:rPr>
              <w:t>三</w:t>
            </w:r>
            <w:proofErr w:type="gramEnd"/>
            <w:r w:rsidRPr="009706F2">
              <w:rPr>
                <w:rFonts w:eastAsia="標楷體" w:hint="eastAsia"/>
                <w:color w:val="000000" w:themeColor="text1"/>
                <w:sz w:val="28"/>
              </w:rPr>
              <w:t>年度及平均數）</w:t>
            </w:r>
            <w:r w:rsidRPr="009706F2">
              <w:rPr>
                <w:rFonts w:eastAsia="標楷體" w:hint="eastAsia"/>
                <w:sz w:val="28"/>
                <w:szCs w:val="28"/>
              </w:rPr>
              <w:t>；</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一般共同成本分攤方法明細表；</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薪資分離明細表；</w:t>
            </w:r>
          </w:p>
          <w:p w:rsidR="001474F1"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最近</w:t>
            </w:r>
            <w:proofErr w:type="gramStart"/>
            <w:r w:rsidRPr="009706F2">
              <w:rPr>
                <w:rFonts w:eastAsia="標楷體" w:hint="eastAsia"/>
                <w:sz w:val="28"/>
                <w:szCs w:val="28"/>
              </w:rPr>
              <w:t>三</w:t>
            </w:r>
            <w:proofErr w:type="gramEnd"/>
            <w:r w:rsidRPr="009706F2">
              <w:rPr>
                <w:rFonts w:eastAsia="標楷體" w:hint="eastAsia"/>
                <w:sz w:val="28"/>
                <w:szCs w:val="28"/>
              </w:rPr>
              <w:t>年度經會計師簽證之財務報告書、分離會計報表（包括部門別損益表及部門別資產負債表）</w:t>
            </w:r>
            <w:r>
              <w:rPr>
                <w:rFonts w:eastAsia="標楷體" w:hint="eastAsia"/>
                <w:color w:val="000000" w:themeColor="text1"/>
                <w:sz w:val="28"/>
                <w:szCs w:val="28"/>
              </w:rPr>
              <w:t>；</w:t>
            </w:r>
          </w:p>
          <w:p w:rsidR="001474F1" w:rsidRPr="009706F2" w:rsidRDefault="001474F1" w:rsidP="001474F1">
            <w:pPr>
              <w:numPr>
                <w:ilvl w:val="0"/>
                <w:numId w:val="3"/>
              </w:numPr>
              <w:tabs>
                <w:tab w:val="left" w:pos="180"/>
              </w:tabs>
              <w:spacing w:beforeLines="50" w:before="120" w:afterLines="50" w:after="120"/>
              <w:jc w:val="both"/>
              <w:rPr>
                <w:rFonts w:eastAsia="標楷體"/>
                <w:sz w:val="28"/>
                <w:szCs w:val="28"/>
              </w:rPr>
            </w:pPr>
            <w:r w:rsidRPr="009706F2">
              <w:rPr>
                <w:rFonts w:eastAsia="標楷體" w:hint="eastAsia"/>
                <w:sz w:val="28"/>
                <w:szCs w:val="28"/>
              </w:rPr>
              <w:t>其他經中央主管機關規定之報表與資料。</w:t>
            </w:r>
          </w:p>
        </w:tc>
      </w:tr>
    </w:tbl>
    <w:p w:rsidR="001474F1" w:rsidRPr="00835668" w:rsidRDefault="001474F1" w:rsidP="001474F1">
      <w:pPr>
        <w:tabs>
          <w:tab w:val="left" w:pos="180"/>
        </w:tabs>
        <w:spacing w:beforeLines="50" w:before="120" w:line="480" w:lineRule="exact"/>
        <w:ind w:left="561" w:hangingChars="200" w:hanging="561"/>
        <w:rPr>
          <w:rFonts w:eastAsia="標楷體"/>
          <w:b/>
          <w:sz w:val="28"/>
          <w:szCs w:val="28"/>
        </w:rPr>
      </w:pPr>
      <w:r w:rsidRPr="00835668">
        <w:rPr>
          <w:rFonts w:eastAsia="標楷體" w:hint="eastAsia"/>
          <w:b/>
          <w:sz w:val="28"/>
          <w:szCs w:val="28"/>
        </w:rPr>
        <w:t>（三）處分態樣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6513"/>
      </w:tblGrid>
      <w:tr w:rsidR="001474F1" w:rsidRPr="00835668" w:rsidTr="00147E36">
        <w:trPr>
          <w:trHeight w:val="1361"/>
        </w:trPr>
        <w:tc>
          <w:tcPr>
            <w:tcW w:w="1179" w:type="pct"/>
            <w:vAlign w:val="center"/>
          </w:tcPr>
          <w:p w:rsidR="001474F1" w:rsidRDefault="001474F1" w:rsidP="001474F1">
            <w:pPr>
              <w:numPr>
                <w:ilvl w:val="0"/>
                <w:numId w:val="2"/>
              </w:numPr>
              <w:ind w:left="0" w:firstLine="0"/>
              <w:jc w:val="both"/>
              <w:rPr>
                <w:rFonts w:eastAsia="標楷體"/>
                <w:sz w:val="28"/>
                <w:szCs w:val="28"/>
              </w:rPr>
            </w:pPr>
            <w:r>
              <w:rPr>
                <w:rFonts w:eastAsia="標楷體" w:hint="eastAsia"/>
                <w:sz w:val="28"/>
                <w:szCs w:val="28"/>
              </w:rPr>
              <w:t>補正</w:t>
            </w:r>
          </w:p>
        </w:tc>
        <w:tc>
          <w:tcPr>
            <w:tcW w:w="3821" w:type="pct"/>
            <w:vAlign w:val="center"/>
          </w:tcPr>
          <w:p w:rsidR="001474F1" w:rsidRDefault="001474F1" w:rsidP="00147E36">
            <w:pPr>
              <w:spacing w:beforeLines="50" w:before="120" w:afterLines="50" w:after="120"/>
              <w:jc w:val="both"/>
              <w:rPr>
                <w:rFonts w:eastAsia="標楷體"/>
                <w:sz w:val="28"/>
                <w:szCs w:val="28"/>
              </w:rPr>
            </w:pPr>
            <w:r w:rsidRPr="00835668">
              <w:rPr>
                <w:rFonts w:eastAsia="標楷體" w:hint="eastAsia"/>
                <w:sz w:val="28"/>
                <w:szCs w:val="28"/>
              </w:rPr>
              <w:t>能</w:t>
            </w:r>
            <w:r w:rsidRPr="009706F2">
              <w:rPr>
                <w:rFonts w:eastAsia="標楷體" w:hint="eastAsia"/>
                <w:sz w:val="28"/>
                <w:szCs w:val="28"/>
              </w:rPr>
              <w:t>源局</w:t>
            </w:r>
            <w:r w:rsidRPr="00475165">
              <w:rPr>
                <w:rFonts w:eastAsia="標楷體" w:hint="eastAsia"/>
                <w:sz w:val="28"/>
                <w:szCs w:val="28"/>
              </w:rPr>
              <w:t>審查</w:t>
            </w:r>
            <w:r>
              <w:rPr>
                <w:rFonts w:eastAsia="標楷體" w:hint="eastAsia"/>
                <w:sz w:val="28"/>
                <w:szCs w:val="28"/>
              </w:rPr>
              <w:t>公用天然氣事業檢具資料，若有文件未齊備或不適當之處，函請公用天然氣事業限期補正，補正期間不得超過一個月。</w:t>
            </w:r>
          </w:p>
        </w:tc>
      </w:tr>
      <w:tr w:rsidR="001474F1" w:rsidRPr="00835668" w:rsidTr="00147E36">
        <w:trPr>
          <w:trHeight w:val="2381"/>
        </w:trPr>
        <w:tc>
          <w:tcPr>
            <w:tcW w:w="1179" w:type="pct"/>
            <w:vAlign w:val="center"/>
          </w:tcPr>
          <w:p w:rsidR="001474F1" w:rsidRPr="00835668" w:rsidRDefault="001474F1" w:rsidP="001474F1">
            <w:pPr>
              <w:numPr>
                <w:ilvl w:val="0"/>
                <w:numId w:val="2"/>
              </w:numPr>
              <w:ind w:left="0" w:firstLine="0"/>
              <w:jc w:val="both"/>
              <w:rPr>
                <w:rFonts w:eastAsia="標楷體"/>
                <w:sz w:val="28"/>
                <w:szCs w:val="28"/>
              </w:rPr>
            </w:pPr>
            <w:r>
              <w:rPr>
                <w:rFonts w:eastAsia="標楷體" w:hint="eastAsia"/>
                <w:sz w:val="28"/>
                <w:szCs w:val="28"/>
              </w:rPr>
              <w:t>駁回</w:t>
            </w:r>
          </w:p>
        </w:tc>
        <w:tc>
          <w:tcPr>
            <w:tcW w:w="3821" w:type="pct"/>
            <w:vAlign w:val="center"/>
          </w:tcPr>
          <w:p w:rsidR="001474F1" w:rsidRPr="00835668" w:rsidRDefault="001474F1" w:rsidP="00147E36">
            <w:pPr>
              <w:spacing w:beforeLines="50" w:before="120" w:afterLines="50" w:after="120"/>
              <w:jc w:val="both"/>
              <w:rPr>
                <w:rFonts w:eastAsia="標楷體"/>
                <w:sz w:val="28"/>
                <w:szCs w:val="28"/>
              </w:rPr>
            </w:pPr>
            <w:r>
              <w:rPr>
                <w:rFonts w:eastAsia="標楷體" w:hint="eastAsia"/>
                <w:sz w:val="28"/>
                <w:szCs w:val="28"/>
              </w:rPr>
              <w:t>公用天然氣事業依第三十四條第一項自行提出天然氣售價及基本收費之調整申請者，發生下列情形將</w:t>
            </w:r>
            <w:proofErr w:type="gramStart"/>
            <w:r>
              <w:rPr>
                <w:rFonts w:eastAsia="標楷體" w:hint="eastAsia"/>
                <w:sz w:val="28"/>
                <w:szCs w:val="28"/>
              </w:rPr>
              <w:t>駁回氣價調整</w:t>
            </w:r>
            <w:proofErr w:type="gramEnd"/>
            <w:r>
              <w:rPr>
                <w:rFonts w:eastAsia="標楷體" w:hint="eastAsia"/>
                <w:sz w:val="28"/>
                <w:szCs w:val="28"/>
              </w:rPr>
              <w:t>申請案</w:t>
            </w:r>
            <w:r w:rsidRPr="00835668">
              <w:rPr>
                <w:rFonts w:eastAsia="標楷體" w:hint="eastAsia"/>
                <w:sz w:val="28"/>
                <w:szCs w:val="28"/>
              </w:rPr>
              <w:t>：</w:t>
            </w:r>
          </w:p>
          <w:p w:rsidR="001474F1" w:rsidRPr="00835668" w:rsidRDefault="001474F1" w:rsidP="001474F1">
            <w:pPr>
              <w:numPr>
                <w:ilvl w:val="0"/>
                <w:numId w:val="5"/>
              </w:numPr>
              <w:spacing w:beforeLines="50" w:before="120" w:afterLines="50" w:after="120"/>
              <w:ind w:left="482" w:hanging="482"/>
              <w:jc w:val="both"/>
              <w:rPr>
                <w:rFonts w:eastAsia="標楷體"/>
                <w:sz w:val="28"/>
                <w:szCs w:val="28"/>
              </w:rPr>
            </w:pPr>
            <w:r>
              <w:rPr>
                <w:rFonts w:eastAsia="標楷體" w:hint="eastAsia"/>
                <w:sz w:val="28"/>
                <w:szCs w:val="28"/>
              </w:rPr>
              <w:t>申請不符法定程序者；</w:t>
            </w:r>
          </w:p>
          <w:p w:rsidR="001474F1" w:rsidRPr="00146801" w:rsidRDefault="001474F1" w:rsidP="001474F1">
            <w:pPr>
              <w:numPr>
                <w:ilvl w:val="0"/>
                <w:numId w:val="5"/>
              </w:numPr>
              <w:spacing w:beforeLines="50" w:before="120" w:afterLines="50" w:after="120"/>
              <w:ind w:left="482" w:hanging="482"/>
              <w:jc w:val="both"/>
              <w:rPr>
                <w:rFonts w:eastAsia="標楷體"/>
                <w:sz w:val="28"/>
                <w:szCs w:val="28"/>
              </w:rPr>
            </w:pPr>
            <w:r w:rsidRPr="00835668">
              <w:rPr>
                <w:rFonts w:eastAsia="標楷體" w:hint="eastAsia"/>
                <w:sz w:val="28"/>
                <w:szCs w:val="28"/>
              </w:rPr>
              <w:t>經限期補正，未依規定補正者</w:t>
            </w:r>
            <w:r>
              <w:rPr>
                <w:rFonts w:eastAsia="標楷體" w:hint="eastAsia"/>
                <w:sz w:val="28"/>
                <w:szCs w:val="28"/>
              </w:rPr>
              <w:t>。</w:t>
            </w:r>
          </w:p>
        </w:tc>
      </w:tr>
      <w:tr w:rsidR="001474F1" w:rsidRPr="00835668" w:rsidTr="00147E36">
        <w:trPr>
          <w:trHeight w:val="567"/>
        </w:trPr>
        <w:tc>
          <w:tcPr>
            <w:tcW w:w="1179" w:type="pct"/>
            <w:vAlign w:val="center"/>
          </w:tcPr>
          <w:p w:rsidR="001474F1" w:rsidRDefault="001474F1" w:rsidP="001474F1">
            <w:pPr>
              <w:numPr>
                <w:ilvl w:val="0"/>
                <w:numId w:val="2"/>
              </w:numPr>
              <w:ind w:left="0" w:firstLine="0"/>
              <w:jc w:val="both"/>
              <w:rPr>
                <w:rFonts w:eastAsia="標楷體"/>
                <w:sz w:val="28"/>
                <w:szCs w:val="28"/>
              </w:rPr>
            </w:pPr>
            <w:r>
              <w:rPr>
                <w:rFonts w:eastAsia="標楷體" w:hint="eastAsia"/>
                <w:sz w:val="28"/>
                <w:szCs w:val="28"/>
              </w:rPr>
              <w:t>裁罰</w:t>
            </w:r>
          </w:p>
        </w:tc>
        <w:tc>
          <w:tcPr>
            <w:tcW w:w="3821" w:type="pct"/>
            <w:vAlign w:val="center"/>
          </w:tcPr>
          <w:p w:rsidR="001474F1" w:rsidRPr="00246AFB" w:rsidRDefault="001474F1" w:rsidP="00147E36">
            <w:pPr>
              <w:spacing w:beforeLines="50" w:before="120" w:afterLines="50" w:after="120"/>
              <w:jc w:val="both"/>
              <w:rPr>
                <w:rFonts w:eastAsia="標楷體"/>
                <w:color w:val="000000" w:themeColor="text1"/>
                <w:sz w:val="28"/>
                <w:szCs w:val="28"/>
              </w:rPr>
            </w:pPr>
            <w:r w:rsidRPr="00246AFB">
              <w:rPr>
                <w:rFonts w:eastAsia="標楷體" w:hint="eastAsia"/>
                <w:color w:val="000000" w:themeColor="text1"/>
                <w:sz w:val="28"/>
                <w:szCs w:val="28"/>
              </w:rPr>
              <w:t>公用天然氣事業依三十四第二項重新核算天然氣售價及基本收費者，發生</w:t>
            </w:r>
            <w:r>
              <w:rPr>
                <w:rFonts w:eastAsia="標楷體" w:hint="eastAsia"/>
                <w:color w:val="000000" w:themeColor="text1"/>
                <w:sz w:val="28"/>
                <w:szCs w:val="28"/>
              </w:rPr>
              <w:t>下列情形將依第五十九條第七款辦理</w:t>
            </w:r>
            <w:r w:rsidRPr="00246AFB">
              <w:rPr>
                <w:rFonts w:eastAsia="標楷體" w:hint="eastAsia"/>
                <w:color w:val="000000" w:themeColor="text1"/>
                <w:sz w:val="28"/>
                <w:szCs w:val="28"/>
              </w:rPr>
              <w:t>：</w:t>
            </w:r>
          </w:p>
          <w:p w:rsidR="001474F1" w:rsidRPr="00246AFB" w:rsidRDefault="001474F1" w:rsidP="001474F1">
            <w:pPr>
              <w:numPr>
                <w:ilvl w:val="0"/>
                <w:numId w:val="27"/>
              </w:numPr>
              <w:spacing w:beforeLines="50" w:before="120" w:afterLines="50" w:after="120"/>
              <w:jc w:val="both"/>
              <w:rPr>
                <w:rFonts w:eastAsia="標楷體"/>
                <w:color w:val="000000" w:themeColor="text1"/>
                <w:sz w:val="28"/>
                <w:szCs w:val="28"/>
              </w:rPr>
            </w:pPr>
            <w:r w:rsidRPr="00246AFB">
              <w:rPr>
                <w:rFonts w:eastAsia="標楷體" w:hint="eastAsia"/>
                <w:color w:val="000000" w:themeColor="text1"/>
                <w:sz w:val="28"/>
                <w:szCs w:val="28"/>
              </w:rPr>
              <w:t>中央主管機關令重新核算通知送達翌日起三個月內，未檢具相關文</w:t>
            </w:r>
            <w:r>
              <w:rPr>
                <w:rFonts w:eastAsia="標楷體" w:hint="eastAsia"/>
                <w:color w:val="000000" w:themeColor="text1"/>
                <w:sz w:val="28"/>
                <w:szCs w:val="28"/>
              </w:rPr>
              <w:t>件</w:t>
            </w:r>
            <w:r w:rsidRPr="00246AFB">
              <w:rPr>
                <w:rFonts w:eastAsia="標楷體" w:hint="eastAsia"/>
                <w:color w:val="000000" w:themeColor="text1"/>
                <w:sz w:val="28"/>
                <w:szCs w:val="28"/>
              </w:rPr>
              <w:t>者</w:t>
            </w:r>
            <w:r>
              <w:rPr>
                <w:rFonts w:eastAsia="標楷體" w:hint="eastAsia"/>
                <w:color w:val="000000" w:themeColor="text1"/>
                <w:sz w:val="28"/>
                <w:szCs w:val="28"/>
              </w:rPr>
              <w:t>提報者</w:t>
            </w:r>
            <w:r w:rsidRPr="00246AFB">
              <w:rPr>
                <w:rFonts w:eastAsia="標楷體" w:hint="eastAsia"/>
                <w:color w:val="000000" w:themeColor="text1"/>
                <w:sz w:val="28"/>
                <w:szCs w:val="28"/>
              </w:rPr>
              <w:t>。</w:t>
            </w:r>
          </w:p>
          <w:p w:rsidR="001474F1" w:rsidRPr="00246AFB" w:rsidRDefault="001474F1" w:rsidP="001474F1">
            <w:pPr>
              <w:numPr>
                <w:ilvl w:val="0"/>
                <w:numId w:val="27"/>
              </w:numPr>
              <w:spacing w:beforeLines="50" w:before="120" w:afterLines="50" w:after="120"/>
              <w:jc w:val="both"/>
              <w:rPr>
                <w:rFonts w:eastAsia="標楷體"/>
                <w:color w:val="000000" w:themeColor="text1"/>
                <w:sz w:val="28"/>
                <w:szCs w:val="28"/>
              </w:rPr>
            </w:pPr>
            <w:r>
              <w:rPr>
                <w:rFonts w:eastAsia="標楷體" w:hint="eastAsia"/>
                <w:color w:val="000000" w:themeColor="text1"/>
                <w:sz w:val="28"/>
                <w:szCs w:val="28"/>
              </w:rPr>
              <w:t>事業</w:t>
            </w:r>
            <w:r w:rsidRPr="00246AFB">
              <w:rPr>
                <w:rFonts w:eastAsia="標楷體" w:hint="eastAsia"/>
                <w:color w:val="000000" w:themeColor="text1"/>
                <w:sz w:val="28"/>
                <w:szCs w:val="28"/>
              </w:rPr>
              <w:t>於前項期間屆滿二十日前申請展延</w:t>
            </w:r>
            <w:r>
              <w:rPr>
                <w:rFonts w:eastAsia="標楷體" w:hint="eastAsia"/>
                <w:color w:val="000000" w:themeColor="text1"/>
                <w:sz w:val="28"/>
                <w:szCs w:val="28"/>
              </w:rPr>
              <w:t>，於展</w:t>
            </w:r>
            <w:proofErr w:type="gramStart"/>
            <w:r>
              <w:rPr>
                <w:rFonts w:eastAsia="標楷體" w:hint="eastAsia"/>
                <w:color w:val="000000" w:themeColor="text1"/>
                <w:sz w:val="28"/>
                <w:szCs w:val="28"/>
              </w:rPr>
              <w:t>延期間內</w:t>
            </w:r>
            <w:r w:rsidRPr="00246AFB">
              <w:rPr>
                <w:rFonts w:eastAsia="標楷體" w:hint="eastAsia"/>
                <w:color w:val="000000" w:themeColor="text1"/>
                <w:sz w:val="28"/>
                <w:szCs w:val="28"/>
              </w:rPr>
              <w:t>未</w:t>
            </w:r>
            <w:proofErr w:type="gramEnd"/>
            <w:r w:rsidRPr="00246AFB">
              <w:rPr>
                <w:rFonts w:eastAsia="標楷體" w:hint="eastAsia"/>
                <w:color w:val="000000" w:themeColor="text1"/>
                <w:sz w:val="28"/>
                <w:szCs w:val="28"/>
              </w:rPr>
              <w:t>檢具相關文件者。</w:t>
            </w:r>
          </w:p>
          <w:p w:rsidR="001474F1" w:rsidRPr="00246AFB" w:rsidRDefault="001474F1" w:rsidP="001474F1">
            <w:pPr>
              <w:numPr>
                <w:ilvl w:val="0"/>
                <w:numId w:val="27"/>
              </w:numPr>
              <w:spacing w:beforeLines="50" w:before="120" w:afterLines="50" w:after="120"/>
              <w:jc w:val="both"/>
              <w:rPr>
                <w:rFonts w:eastAsia="標楷體"/>
                <w:color w:val="000000" w:themeColor="text1"/>
                <w:sz w:val="28"/>
                <w:szCs w:val="28"/>
              </w:rPr>
            </w:pPr>
            <w:r>
              <w:rPr>
                <w:rFonts w:eastAsia="標楷體" w:hint="eastAsia"/>
                <w:color w:val="000000" w:themeColor="text1"/>
                <w:sz w:val="28"/>
                <w:szCs w:val="28"/>
              </w:rPr>
              <w:lastRenderedPageBreak/>
              <w:t>中央</w:t>
            </w:r>
            <w:r w:rsidRPr="00246AFB">
              <w:rPr>
                <w:rFonts w:eastAsia="標楷體" w:hint="eastAsia"/>
                <w:color w:val="000000" w:themeColor="text1"/>
                <w:sz w:val="28"/>
                <w:szCs w:val="28"/>
              </w:rPr>
              <w:t>主管機關</w:t>
            </w:r>
            <w:r>
              <w:rPr>
                <w:rFonts w:eastAsia="標楷體" w:hint="eastAsia"/>
                <w:color w:val="000000" w:themeColor="text1"/>
                <w:sz w:val="28"/>
                <w:szCs w:val="28"/>
              </w:rPr>
              <w:t>通知</w:t>
            </w:r>
            <w:r w:rsidRPr="00246AFB">
              <w:rPr>
                <w:rFonts w:eastAsia="標楷體" w:hint="eastAsia"/>
                <w:color w:val="000000" w:themeColor="text1"/>
                <w:sz w:val="28"/>
                <w:szCs w:val="28"/>
              </w:rPr>
              <w:t>限期補正，未依規定補正者。</w:t>
            </w:r>
          </w:p>
        </w:tc>
      </w:tr>
      <w:tr w:rsidR="001474F1" w:rsidRPr="00835668" w:rsidTr="00147E36">
        <w:trPr>
          <w:trHeight w:val="1134"/>
        </w:trPr>
        <w:tc>
          <w:tcPr>
            <w:tcW w:w="1179" w:type="pct"/>
            <w:vAlign w:val="center"/>
          </w:tcPr>
          <w:p w:rsidR="001474F1" w:rsidRPr="00835668" w:rsidRDefault="001474F1" w:rsidP="001474F1">
            <w:pPr>
              <w:numPr>
                <w:ilvl w:val="0"/>
                <w:numId w:val="2"/>
              </w:numPr>
              <w:ind w:left="0" w:firstLine="0"/>
              <w:jc w:val="both"/>
              <w:rPr>
                <w:rFonts w:eastAsia="標楷體"/>
                <w:sz w:val="28"/>
                <w:szCs w:val="28"/>
              </w:rPr>
            </w:pPr>
            <w:r w:rsidRPr="00835668">
              <w:rPr>
                <w:rFonts w:eastAsia="標楷體" w:hint="eastAsia"/>
                <w:sz w:val="28"/>
                <w:szCs w:val="28"/>
              </w:rPr>
              <w:lastRenderedPageBreak/>
              <w:t>核定辦理</w:t>
            </w:r>
          </w:p>
        </w:tc>
        <w:tc>
          <w:tcPr>
            <w:tcW w:w="3821" w:type="pct"/>
            <w:vAlign w:val="center"/>
          </w:tcPr>
          <w:p w:rsidR="001474F1" w:rsidRPr="00835668" w:rsidRDefault="001474F1" w:rsidP="00147E36">
            <w:pPr>
              <w:jc w:val="both"/>
              <w:rPr>
                <w:rFonts w:eastAsia="標楷體"/>
                <w:sz w:val="28"/>
                <w:szCs w:val="28"/>
              </w:rPr>
            </w:pPr>
            <w:r w:rsidRPr="00835668">
              <w:rPr>
                <w:rFonts w:eastAsia="標楷體" w:hint="eastAsia"/>
                <w:sz w:val="28"/>
                <w:szCs w:val="28"/>
              </w:rPr>
              <w:t>經</w:t>
            </w:r>
            <w:r w:rsidRPr="00DC71FF">
              <w:rPr>
                <w:rFonts w:eastAsia="標楷體" w:hint="eastAsia"/>
                <w:sz w:val="28"/>
                <w:szCs w:val="28"/>
              </w:rPr>
              <w:t>「天然氣價格計算方式審議會」</w:t>
            </w:r>
            <w:r w:rsidRPr="00835668">
              <w:rPr>
                <w:rFonts w:eastAsia="標楷體" w:hint="eastAsia"/>
                <w:sz w:val="28"/>
                <w:szCs w:val="28"/>
              </w:rPr>
              <w:t>決議</w:t>
            </w:r>
            <w:r>
              <w:rPr>
                <w:rFonts w:eastAsia="標楷體" w:hint="eastAsia"/>
                <w:sz w:val="28"/>
                <w:szCs w:val="28"/>
              </w:rPr>
              <w:t>調整金額</w:t>
            </w:r>
            <w:r w:rsidRPr="00835668">
              <w:rPr>
                <w:rFonts w:eastAsia="標楷體" w:hint="eastAsia"/>
                <w:sz w:val="28"/>
                <w:szCs w:val="28"/>
              </w:rPr>
              <w:t>，依會議決議簽報核定。</w:t>
            </w:r>
          </w:p>
        </w:tc>
      </w:tr>
    </w:tbl>
    <w:p w:rsidR="001474F1" w:rsidRPr="00835668" w:rsidRDefault="001474F1" w:rsidP="001474F1">
      <w:pPr>
        <w:widowControl/>
        <w:rPr>
          <w:sz w:val="28"/>
          <w:szCs w:val="28"/>
        </w:rPr>
      </w:pPr>
      <w:r w:rsidRPr="00835668">
        <w:rPr>
          <w:sz w:val="28"/>
          <w:szCs w:val="28"/>
        </w:rPr>
        <w:br w:type="page"/>
      </w:r>
    </w:p>
    <w:p w:rsidR="001474F1" w:rsidRPr="00B92225" w:rsidRDefault="001474F1" w:rsidP="001474F1">
      <w:pPr>
        <w:widowControl/>
        <w:jc w:val="center"/>
        <w:rPr>
          <w:sz w:val="28"/>
          <w:szCs w:val="28"/>
        </w:rPr>
      </w:pPr>
      <w:r>
        <w:rPr>
          <w:noProof/>
          <w:sz w:val="28"/>
          <w:szCs w:val="28"/>
        </w:rPr>
        <w:lastRenderedPageBreak/>
        <w:drawing>
          <wp:inline distT="0" distB="0" distL="0" distR="0" wp14:anchorId="583C82F7" wp14:editId="24791852">
            <wp:extent cx="5274310" cy="7618730"/>
            <wp:effectExtent l="0" t="0" r="2540" b="127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天然氣計畫-SOP1227V1.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7618730"/>
                    </a:xfrm>
                    <a:prstGeom prst="rect">
                      <a:avLst/>
                    </a:prstGeom>
                  </pic:spPr>
                </pic:pic>
              </a:graphicData>
            </a:graphic>
          </wp:inline>
        </w:drawing>
      </w:r>
    </w:p>
    <w:p w:rsidR="001474F1" w:rsidRDefault="001474F1" w:rsidP="001474F1">
      <w:pPr>
        <w:widowControl/>
        <w:rPr>
          <w:b/>
        </w:rPr>
      </w:pPr>
      <w:r w:rsidRPr="00835668">
        <w:rPr>
          <w:b/>
        </w:rPr>
        <w:br w:type="page"/>
      </w:r>
    </w:p>
    <w:p w:rsidR="001474F1" w:rsidRPr="007E344D" w:rsidRDefault="001474F1" w:rsidP="001474F1">
      <w:pPr>
        <w:widowControl/>
        <w:spacing w:line="500" w:lineRule="exact"/>
        <w:rPr>
          <w:rFonts w:eastAsia="標楷體"/>
          <w:b/>
          <w:color w:val="000000" w:themeColor="text1"/>
          <w:sz w:val="52"/>
        </w:rPr>
      </w:pPr>
    </w:p>
    <w:p w:rsidR="001474F1" w:rsidRPr="007E344D" w:rsidRDefault="001474F1" w:rsidP="001474F1">
      <w:pPr>
        <w:widowControl/>
        <w:spacing w:line="500" w:lineRule="exact"/>
        <w:rPr>
          <w:rFonts w:eastAsia="標楷體"/>
          <w:b/>
          <w:color w:val="000000" w:themeColor="text1"/>
          <w:sz w:val="32"/>
        </w:rPr>
      </w:pPr>
    </w:p>
    <w:p w:rsidR="001474F1" w:rsidRPr="007E344D" w:rsidRDefault="001474F1" w:rsidP="001474F1">
      <w:pPr>
        <w:widowControl/>
        <w:spacing w:line="500" w:lineRule="exact"/>
        <w:rPr>
          <w:rFonts w:eastAsia="標楷體"/>
          <w:b/>
          <w:color w:val="000000" w:themeColor="text1"/>
          <w:sz w:val="52"/>
        </w:rPr>
      </w:pPr>
    </w:p>
    <w:p w:rsidR="001474F1" w:rsidRPr="007E344D" w:rsidRDefault="001474F1" w:rsidP="001474F1">
      <w:pPr>
        <w:widowControl/>
        <w:spacing w:line="500" w:lineRule="exact"/>
        <w:rPr>
          <w:rFonts w:eastAsia="標楷體"/>
          <w:b/>
          <w:color w:val="000000" w:themeColor="text1"/>
          <w:sz w:val="52"/>
        </w:rPr>
      </w:pPr>
    </w:p>
    <w:p w:rsidR="001474F1" w:rsidRPr="007E344D" w:rsidRDefault="001474F1" w:rsidP="001474F1">
      <w:pPr>
        <w:widowControl/>
        <w:spacing w:line="500" w:lineRule="exact"/>
        <w:rPr>
          <w:rFonts w:eastAsia="標楷體"/>
          <w:b/>
          <w:color w:val="000000" w:themeColor="text1"/>
          <w:sz w:val="32"/>
        </w:rPr>
      </w:pPr>
    </w:p>
    <w:p w:rsidR="001474F1" w:rsidRPr="007E344D" w:rsidRDefault="001474F1" w:rsidP="001474F1">
      <w:pPr>
        <w:widowControl/>
        <w:spacing w:line="360" w:lineRule="auto"/>
        <w:jc w:val="center"/>
        <w:rPr>
          <w:rFonts w:eastAsia="標楷體"/>
          <w:b/>
          <w:color w:val="000000" w:themeColor="text1"/>
          <w:sz w:val="52"/>
        </w:rPr>
      </w:pPr>
      <w:r>
        <w:rPr>
          <w:rFonts w:eastAsia="標楷體" w:hint="eastAsia"/>
          <w:b/>
          <w:color w:val="000000" w:themeColor="text1"/>
          <w:sz w:val="52"/>
        </w:rPr>
        <w:t>○○○公司</w:t>
      </w:r>
    </w:p>
    <w:p w:rsidR="001474F1" w:rsidRPr="007E344D" w:rsidRDefault="001474F1" w:rsidP="001474F1">
      <w:pPr>
        <w:widowControl/>
        <w:spacing w:line="360" w:lineRule="auto"/>
        <w:jc w:val="center"/>
        <w:rPr>
          <w:rFonts w:eastAsia="標楷體"/>
          <w:b/>
          <w:color w:val="000000" w:themeColor="text1"/>
          <w:sz w:val="52"/>
        </w:rPr>
      </w:pPr>
      <w:r w:rsidRPr="007E344D">
        <w:rPr>
          <w:rFonts w:eastAsia="標楷體" w:hint="eastAsia"/>
          <w:b/>
          <w:color w:val="000000" w:themeColor="text1"/>
          <w:sz w:val="52"/>
        </w:rPr>
        <w:t>天然氣售價及基本收費</w:t>
      </w:r>
      <w:r>
        <w:rPr>
          <w:rFonts w:eastAsia="標楷體" w:hint="eastAsia"/>
          <w:b/>
          <w:color w:val="000000" w:themeColor="text1"/>
          <w:sz w:val="52"/>
        </w:rPr>
        <w:t>之核定</w:t>
      </w:r>
    </w:p>
    <w:p w:rsidR="001474F1" w:rsidRPr="007E344D" w:rsidRDefault="001474F1" w:rsidP="001474F1">
      <w:pPr>
        <w:widowControl/>
        <w:spacing w:line="360" w:lineRule="auto"/>
        <w:jc w:val="center"/>
        <w:rPr>
          <w:rFonts w:eastAsia="標楷體"/>
          <w:b/>
          <w:color w:val="000000" w:themeColor="text1"/>
          <w:sz w:val="52"/>
        </w:rPr>
      </w:pPr>
      <w:r w:rsidRPr="007E344D">
        <w:rPr>
          <w:rFonts w:eastAsia="標楷體" w:hint="eastAsia"/>
          <w:b/>
          <w:color w:val="000000" w:themeColor="text1"/>
          <w:sz w:val="52"/>
        </w:rPr>
        <w:t>審查資料</w:t>
      </w:r>
    </w:p>
    <w:p w:rsidR="001474F1" w:rsidRPr="007E344D" w:rsidRDefault="001474F1" w:rsidP="001474F1">
      <w:pPr>
        <w:widowControl/>
        <w:spacing w:line="360" w:lineRule="auto"/>
        <w:jc w:val="center"/>
        <w:rPr>
          <w:rFonts w:eastAsia="標楷體"/>
          <w:b/>
          <w:color w:val="000000" w:themeColor="text1"/>
          <w:sz w:val="32"/>
        </w:rPr>
      </w:pPr>
      <w:r w:rsidRPr="007E344D">
        <w:rPr>
          <w:rFonts w:eastAsia="標楷體" w:hint="eastAsia"/>
          <w:b/>
          <w:color w:val="000000" w:themeColor="text1"/>
          <w:sz w:val="52"/>
        </w:rPr>
        <w:t>（範本）</w:t>
      </w: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Pr="00145026" w:rsidRDefault="001474F1" w:rsidP="001474F1">
      <w:pPr>
        <w:widowControl/>
        <w:spacing w:line="360" w:lineRule="auto"/>
        <w:rPr>
          <w:rFonts w:eastAsia="標楷體"/>
          <w:b/>
          <w:color w:val="000000" w:themeColor="text1"/>
          <w:sz w:val="32"/>
        </w:rPr>
      </w:pPr>
    </w:p>
    <w:p w:rsidR="001474F1" w:rsidRDefault="001474F1" w:rsidP="001474F1">
      <w:pPr>
        <w:widowControl/>
        <w:spacing w:line="360" w:lineRule="auto"/>
        <w:rPr>
          <w:rFonts w:eastAsia="標楷體"/>
          <w:b/>
          <w:color w:val="000000" w:themeColor="text1"/>
          <w:sz w:val="32"/>
        </w:rPr>
      </w:pPr>
    </w:p>
    <w:p w:rsidR="001474F1" w:rsidRDefault="001474F1" w:rsidP="001474F1">
      <w:pPr>
        <w:widowControl/>
        <w:spacing w:line="500" w:lineRule="exact"/>
        <w:rPr>
          <w:rFonts w:eastAsia="標楷體"/>
          <w:b/>
          <w:color w:val="000000" w:themeColor="text1"/>
          <w:sz w:val="32"/>
        </w:rPr>
      </w:pPr>
      <w:r w:rsidRPr="007E344D">
        <w:rPr>
          <w:rFonts w:eastAsia="標楷體" w:hint="eastAsia"/>
          <w:b/>
          <w:color w:val="000000" w:themeColor="text1"/>
          <w:sz w:val="32"/>
        </w:rPr>
        <w:t>【申請時間】</w:t>
      </w:r>
    </w:p>
    <w:p w:rsidR="001474F1" w:rsidRDefault="001474F1" w:rsidP="001474F1">
      <w:pPr>
        <w:widowControl/>
        <w:spacing w:line="500" w:lineRule="exact"/>
        <w:jc w:val="center"/>
        <w:rPr>
          <w:rFonts w:eastAsia="標楷體"/>
          <w:b/>
          <w:color w:val="000000" w:themeColor="text1"/>
          <w:sz w:val="32"/>
        </w:rPr>
      </w:pPr>
      <w:r w:rsidRPr="00563A2A">
        <w:rPr>
          <w:rFonts w:eastAsia="標楷體" w:hint="eastAsia"/>
          <w:b/>
          <w:color w:val="000000" w:themeColor="text1"/>
          <w:sz w:val="32"/>
        </w:rPr>
        <w:t>○○○</w:t>
      </w:r>
      <w:r>
        <w:rPr>
          <w:rFonts w:eastAsia="標楷體" w:hint="eastAsia"/>
          <w:b/>
          <w:color w:val="000000" w:themeColor="text1"/>
          <w:sz w:val="32"/>
        </w:rPr>
        <w:t>年</w:t>
      </w:r>
      <w:r w:rsidRPr="00563A2A">
        <w:rPr>
          <w:rFonts w:eastAsia="標楷體" w:hint="eastAsia"/>
          <w:b/>
          <w:color w:val="000000" w:themeColor="text1"/>
          <w:sz w:val="32"/>
        </w:rPr>
        <w:t>○○</w:t>
      </w:r>
      <w:r>
        <w:rPr>
          <w:rFonts w:eastAsia="標楷體" w:hint="eastAsia"/>
          <w:b/>
          <w:color w:val="000000" w:themeColor="text1"/>
          <w:sz w:val="32"/>
        </w:rPr>
        <w:t>月</w:t>
      </w:r>
      <w:r w:rsidRPr="00563A2A">
        <w:rPr>
          <w:rFonts w:eastAsia="標楷體" w:hint="eastAsia"/>
          <w:b/>
          <w:color w:val="000000" w:themeColor="text1"/>
          <w:sz w:val="32"/>
        </w:rPr>
        <w:t>○○</w:t>
      </w:r>
      <w:r>
        <w:rPr>
          <w:rFonts w:eastAsia="標楷體" w:hint="eastAsia"/>
          <w:b/>
          <w:color w:val="000000" w:themeColor="text1"/>
          <w:sz w:val="32"/>
        </w:rPr>
        <w:t>日</w:t>
      </w:r>
    </w:p>
    <w:p w:rsidR="001474F1" w:rsidRDefault="001474F1" w:rsidP="001474F1">
      <w:pPr>
        <w:widowControl/>
        <w:spacing w:line="360" w:lineRule="auto"/>
        <w:rPr>
          <w:rFonts w:eastAsia="標楷體"/>
          <w:b/>
          <w:color w:val="000000" w:themeColor="text1"/>
          <w:sz w:val="32"/>
        </w:rPr>
      </w:pPr>
      <w:r>
        <w:rPr>
          <w:rFonts w:eastAsia="標楷體"/>
          <w:b/>
          <w:color w:val="000000" w:themeColor="text1"/>
          <w:sz w:val="32"/>
        </w:rPr>
        <w:br w:type="page"/>
      </w:r>
    </w:p>
    <w:p w:rsidR="001474F1" w:rsidRDefault="001474F1" w:rsidP="001474F1">
      <w:pPr>
        <w:widowControl/>
        <w:spacing w:line="500" w:lineRule="exact"/>
        <w:jc w:val="center"/>
        <w:rPr>
          <w:rFonts w:eastAsia="標楷體"/>
          <w:b/>
          <w:color w:val="000000" w:themeColor="text1"/>
          <w:sz w:val="32"/>
        </w:rPr>
      </w:pPr>
      <w:r>
        <w:rPr>
          <w:rFonts w:eastAsia="標楷體" w:hint="eastAsia"/>
          <w:b/>
          <w:color w:val="000000" w:themeColor="text1"/>
          <w:sz w:val="32"/>
        </w:rPr>
        <w:lastRenderedPageBreak/>
        <w:t>目錄</w:t>
      </w:r>
    </w:p>
    <w:p w:rsidR="001474F1" w:rsidRPr="000C7301" w:rsidRDefault="001474F1" w:rsidP="001474F1">
      <w:pPr>
        <w:widowControl/>
        <w:spacing w:beforeLines="50" w:before="120" w:afterLines="50" w:after="120" w:line="500" w:lineRule="exact"/>
        <w:rPr>
          <w:rFonts w:eastAsia="標楷體"/>
          <w:b/>
          <w:color w:val="000000" w:themeColor="text1"/>
          <w:sz w:val="28"/>
        </w:rPr>
      </w:pPr>
      <w:r w:rsidRPr="000C7301">
        <w:rPr>
          <w:rFonts w:eastAsia="標楷體" w:hint="eastAsia"/>
          <w:b/>
          <w:color w:val="000000" w:themeColor="text1"/>
          <w:sz w:val="28"/>
        </w:rPr>
        <w:t>事業提報資料項目檢核表</w:t>
      </w:r>
    </w:p>
    <w:p w:rsidR="001474F1" w:rsidRPr="00563A2A" w:rsidRDefault="001474F1" w:rsidP="001474F1">
      <w:pPr>
        <w:pStyle w:val="a3"/>
        <w:widowControl/>
        <w:numPr>
          <w:ilvl w:val="0"/>
          <w:numId w:val="26"/>
        </w:numPr>
        <w:spacing w:beforeLines="50" w:before="120" w:afterLines="50" w:after="120" w:line="500" w:lineRule="exact"/>
        <w:ind w:leftChars="0"/>
        <w:rPr>
          <w:rFonts w:eastAsia="標楷體"/>
          <w:b/>
          <w:color w:val="000000" w:themeColor="text1"/>
          <w:sz w:val="28"/>
        </w:rPr>
      </w:pPr>
      <w:r w:rsidRPr="00563A2A">
        <w:rPr>
          <w:rFonts w:eastAsia="標楷體" w:hint="eastAsia"/>
          <w:b/>
          <w:color w:val="000000" w:themeColor="text1"/>
          <w:sz w:val="28"/>
        </w:rPr>
        <w:t>調整後之金額及其說明</w:t>
      </w:r>
    </w:p>
    <w:p w:rsidR="001474F1" w:rsidRPr="00563A2A" w:rsidRDefault="001474F1" w:rsidP="001474F1">
      <w:pPr>
        <w:pStyle w:val="a3"/>
        <w:widowControl/>
        <w:numPr>
          <w:ilvl w:val="0"/>
          <w:numId w:val="24"/>
        </w:numPr>
        <w:spacing w:line="500" w:lineRule="exact"/>
        <w:ind w:leftChars="0"/>
        <w:rPr>
          <w:rFonts w:eastAsia="標楷體"/>
          <w:b/>
          <w:color w:val="000000" w:themeColor="text1"/>
          <w:sz w:val="28"/>
        </w:rPr>
      </w:pPr>
      <w:r w:rsidRPr="00563A2A">
        <w:rPr>
          <w:rFonts w:eastAsia="標楷體" w:hint="eastAsia"/>
          <w:b/>
          <w:color w:val="000000" w:themeColor="text1"/>
          <w:sz w:val="28"/>
        </w:rPr>
        <w:t>基本費評估彙總表（預計未來</w:t>
      </w:r>
      <w:proofErr w:type="gramStart"/>
      <w:r w:rsidRPr="00563A2A">
        <w:rPr>
          <w:rFonts w:eastAsia="標楷體" w:hint="eastAsia"/>
          <w:b/>
          <w:color w:val="000000" w:themeColor="text1"/>
          <w:sz w:val="28"/>
        </w:rPr>
        <w:t>3</w:t>
      </w:r>
      <w:proofErr w:type="gramEnd"/>
      <w:r w:rsidRPr="00563A2A">
        <w:rPr>
          <w:rFonts w:eastAsia="標楷體" w:hint="eastAsia"/>
          <w:b/>
          <w:color w:val="000000" w:themeColor="text1"/>
          <w:sz w:val="28"/>
        </w:rPr>
        <w:t>年度平均數）</w:t>
      </w:r>
    </w:p>
    <w:p w:rsidR="001474F1" w:rsidRPr="000C7301" w:rsidRDefault="001474F1" w:rsidP="001474F1">
      <w:pPr>
        <w:pStyle w:val="a3"/>
        <w:widowControl/>
        <w:numPr>
          <w:ilvl w:val="0"/>
          <w:numId w:val="24"/>
        </w:numPr>
        <w:spacing w:line="500" w:lineRule="exact"/>
        <w:ind w:leftChars="0"/>
        <w:rPr>
          <w:rFonts w:eastAsia="標楷體"/>
          <w:b/>
          <w:color w:val="000000" w:themeColor="text1"/>
          <w:sz w:val="28"/>
        </w:rPr>
      </w:pPr>
      <w:proofErr w:type="gramStart"/>
      <w:r w:rsidRPr="00563A2A">
        <w:rPr>
          <w:rFonts w:eastAsia="標楷體" w:hint="eastAsia"/>
          <w:b/>
          <w:color w:val="000000" w:themeColor="text1"/>
          <w:sz w:val="28"/>
        </w:rPr>
        <w:t>從量費評估</w:t>
      </w:r>
      <w:proofErr w:type="gramEnd"/>
      <w:r w:rsidRPr="00563A2A">
        <w:rPr>
          <w:rFonts w:eastAsia="標楷體" w:hint="eastAsia"/>
          <w:b/>
          <w:color w:val="000000" w:themeColor="text1"/>
          <w:sz w:val="28"/>
        </w:rPr>
        <w:t>彙總表（預計未來</w:t>
      </w:r>
      <w:proofErr w:type="gramStart"/>
      <w:r w:rsidRPr="00563A2A">
        <w:rPr>
          <w:rFonts w:eastAsia="標楷體" w:hint="eastAsia"/>
          <w:b/>
          <w:color w:val="000000" w:themeColor="text1"/>
          <w:sz w:val="28"/>
        </w:rPr>
        <w:t>3</w:t>
      </w:r>
      <w:proofErr w:type="gramEnd"/>
      <w:r w:rsidRPr="00563A2A">
        <w:rPr>
          <w:rFonts w:eastAsia="標楷體" w:hint="eastAsia"/>
          <w:b/>
          <w:color w:val="000000" w:themeColor="text1"/>
          <w:sz w:val="28"/>
        </w:rPr>
        <w:t>年度平均數）</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事業總營運成本分離表（最近</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年度及平均數、預計未來</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事業資金成本計算表（最近</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年度及平均數、預計未來</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事業氣體費率計算表，包括預計未來配氣量及用戶數（預計未來</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一般共同成本分攤方法明細表</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薪資分離明細表</w:t>
      </w:r>
    </w:p>
    <w:p w:rsidR="001474F1" w:rsidRPr="00DC57F3" w:rsidRDefault="001474F1" w:rsidP="001474F1">
      <w:pPr>
        <w:pStyle w:val="a3"/>
        <w:widowControl/>
        <w:numPr>
          <w:ilvl w:val="0"/>
          <w:numId w:val="26"/>
        </w:numPr>
        <w:spacing w:beforeLines="50" w:before="120" w:afterLines="50" w:after="120" w:line="500" w:lineRule="exact"/>
        <w:ind w:leftChars="0" w:left="561" w:hangingChars="200" w:hanging="561"/>
        <w:rPr>
          <w:rFonts w:eastAsia="標楷體"/>
          <w:b/>
          <w:color w:val="000000" w:themeColor="text1"/>
          <w:sz w:val="28"/>
        </w:rPr>
      </w:pPr>
      <w:r w:rsidRPr="00DC57F3">
        <w:rPr>
          <w:rFonts w:eastAsia="標楷體" w:hint="eastAsia"/>
          <w:b/>
          <w:color w:val="000000" w:themeColor="text1"/>
          <w:sz w:val="28"/>
        </w:rPr>
        <w:t>最近</w:t>
      </w:r>
      <w:proofErr w:type="gramStart"/>
      <w:r w:rsidRPr="00DC57F3">
        <w:rPr>
          <w:rFonts w:eastAsia="標楷體" w:hint="eastAsia"/>
          <w:b/>
          <w:color w:val="000000" w:themeColor="text1"/>
          <w:sz w:val="28"/>
        </w:rPr>
        <w:t>3</w:t>
      </w:r>
      <w:proofErr w:type="gramEnd"/>
      <w:r w:rsidRPr="00DC57F3">
        <w:rPr>
          <w:rFonts w:eastAsia="標楷體" w:hint="eastAsia"/>
          <w:b/>
          <w:color w:val="000000" w:themeColor="text1"/>
          <w:sz w:val="28"/>
        </w:rPr>
        <w:t>年度經會計師簽證之財務報告書、分離會計報表（包括部門別損益表及部門別資產負債表）</w:t>
      </w:r>
    </w:p>
    <w:p w:rsidR="001474F1" w:rsidRPr="007E344D" w:rsidRDefault="001474F1" w:rsidP="001474F1">
      <w:pPr>
        <w:widowControl/>
        <w:spacing w:line="500" w:lineRule="exact"/>
        <w:rPr>
          <w:rFonts w:eastAsia="標楷體"/>
          <w:b/>
          <w:color w:val="000000" w:themeColor="text1"/>
          <w:sz w:val="32"/>
        </w:rPr>
        <w:sectPr w:rsidR="001474F1" w:rsidRPr="007E344D" w:rsidSect="00CF1BD0">
          <w:footerReference w:type="even" r:id="rId12"/>
          <w:footerReference w:type="default" r:id="rId13"/>
          <w:pgSz w:w="11906" w:h="16838"/>
          <w:pgMar w:top="1440" w:right="1800" w:bottom="1440" w:left="1800" w:header="851" w:footer="992" w:gutter="0"/>
          <w:cols w:space="425"/>
          <w:docGrid w:linePitch="360"/>
        </w:sectPr>
      </w:pPr>
    </w:p>
    <w:p w:rsidR="001474F1" w:rsidRPr="005C7F82" w:rsidRDefault="001474F1" w:rsidP="001474F1">
      <w:pPr>
        <w:pStyle w:val="a8"/>
        <w:spacing w:afterLines="100" w:after="360" w:line="500" w:lineRule="exact"/>
        <w:jc w:val="center"/>
        <w:rPr>
          <w:rFonts w:ascii="Times New Roman" w:eastAsia="標楷體" w:hAnsi="Times New Roman" w:cs="Times New Roman"/>
          <w:b/>
          <w:color w:val="000000" w:themeColor="text1"/>
          <w:sz w:val="28"/>
        </w:rPr>
      </w:pPr>
      <w:bookmarkStart w:id="0" w:name="_Toc480907774"/>
      <w:r w:rsidRPr="005C7F82">
        <w:rPr>
          <w:rFonts w:ascii="Times New Roman" w:eastAsia="標楷體" w:hAnsi="Times New Roman" w:cs="Times New Roman"/>
          <w:b/>
          <w:color w:val="000000" w:themeColor="text1"/>
          <w:sz w:val="28"/>
        </w:rPr>
        <w:lastRenderedPageBreak/>
        <w:t>事業提報資料項目檢核表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67"/>
        <w:gridCol w:w="2613"/>
        <w:gridCol w:w="2607"/>
      </w:tblGrid>
      <w:tr w:rsidR="001474F1" w:rsidRPr="007E344D" w:rsidTr="00147E36">
        <w:trPr>
          <w:trHeight w:val="567"/>
          <w:tblHeader/>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E36">
            <w:pPr>
              <w:widowControl/>
              <w:jc w:val="center"/>
              <w:rPr>
                <w:rFonts w:eastAsia="標楷體" w:cs="Arial"/>
                <w:color w:val="000000" w:themeColor="text1"/>
                <w:kern w:val="0"/>
                <w:szCs w:val="28"/>
              </w:rPr>
            </w:pPr>
            <w:r>
              <w:rPr>
                <w:rFonts w:eastAsia="標楷體" w:cs="Arial" w:hint="eastAsia"/>
                <w:b/>
                <w:bCs/>
                <w:color w:val="000000" w:themeColor="text1"/>
                <w:kern w:val="24"/>
                <w:szCs w:val="28"/>
              </w:rPr>
              <w:t>提報資料</w:t>
            </w:r>
          </w:p>
        </w:tc>
        <w:tc>
          <w:tcPr>
            <w:tcW w:w="1335" w:type="pct"/>
            <w:shd w:val="clear" w:color="auto" w:fill="auto"/>
            <w:tcMar>
              <w:top w:w="72" w:type="dxa"/>
              <w:left w:w="144" w:type="dxa"/>
              <w:bottom w:w="72" w:type="dxa"/>
              <w:right w:w="144" w:type="dxa"/>
            </w:tcMar>
            <w:vAlign w:val="center"/>
            <w:hideMark/>
          </w:tcPr>
          <w:p w:rsidR="001474F1" w:rsidRPr="007E344D" w:rsidRDefault="001474F1" w:rsidP="00147E36">
            <w:pPr>
              <w:widowControl/>
              <w:jc w:val="center"/>
              <w:rPr>
                <w:rFonts w:eastAsia="標楷體" w:cs="Arial"/>
                <w:color w:val="000000" w:themeColor="text1"/>
                <w:kern w:val="0"/>
                <w:szCs w:val="28"/>
              </w:rPr>
            </w:pPr>
            <w:r w:rsidRPr="007E344D">
              <w:rPr>
                <w:rFonts w:eastAsia="標楷體" w:cs="Arial" w:hint="eastAsia"/>
                <w:b/>
                <w:bCs/>
                <w:color w:val="000000" w:themeColor="text1"/>
                <w:kern w:val="24"/>
                <w:szCs w:val="28"/>
              </w:rPr>
              <w:t>事業是否提供</w:t>
            </w:r>
          </w:p>
        </w:tc>
        <w:tc>
          <w:tcPr>
            <w:tcW w:w="1332" w:type="pct"/>
            <w:vAlign w:val="center"/>
          </w:tcPr>
          <w:p w:rsidR="001474F1" w:rsidRPr="007E344D" w:rsidRDefault="001474F1" w:rsidP="00147E36">
            <w:pPr>
              <w:widowControl/>
              <w:jc w:val="center"/>
              <w:rPr>
                <w:rFonts w:eastAsia="標楷體" w:cs="Arial"/>
                <w:b/>
                <w:bCs/>
                <w:color w:val="000000" w:themeColor="text1"/>
                <w:kern w:val="24"/>
                <w:szCs w:val="28"/>
              </w:rPr>
            </w:pPr>
            <w:r w:rsidRPr="007E344D">
              <w:rPr>
                <w:rFonts w:eastAsia="標楷體" w:cs="Arial" w:hint="eastAsia"/>
                <w:b/>
                <w:bCs/>
                <w:color w:val="000000" w:themeColor="text1"/>
                <w:kern w:val="24"/>
                <w:szCs w:val="28"/>
              </w:rPr>
              <w:t>主管機關確認</w:t>
            </w:r>
          </w:p>
        </w:tc>
      </w:tr>
      <w:tr w:rsidR="001474F1" w:rsidRPr="007E344D" w:rsidTr="00147E36">
        <w:trPr>
          <w:trHeight w:val="567"/>
          <w:jc w:val="center"/>
        </w:trPr>
        <w:tc>
          <w:tcPr>
            <w:tcW w:w="2333" w:type="pct"/>
            <w:shd w:val="clear" w:color="auto" w:fill="auto"/>
            <w:tcMar>
              <w:top w:w="72" w:type="dxa"/>
              <w:left w:w="144" w:type="dxa"/>
              <w:bottom w:w="72" w:type="dxa"/>
              <w:right w:w="144" w:type="dxa"/>
            </w:tcMar>
            <w:vAlign w:val="center"/>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7E344D">
              <w:rPr>
                <w:rFonts w:eastAsia="標楷體" w:hint="eastAsia"/>
                <w:color w:val="000000" w:themeColor="text1"/>
                <w:kern w:val="0"/>
                <w:szCs w:val="28"/>
              </w:rPr>
              <w:t>調整後之金額及其說明</w:t>
            </w:r>
          </w:p>
        </w:tc>
        <w:tc>
          <w:tcPr>
            <w:tcW w:w="1335" w:type="pct"/>
            <w:shd w:val="clear" w:color="auto" w:fill="auto"/>
            <w:tcMar>
              <w:top w:w="72" w:type="dxa"/>
              <w:left w:w="144" w:type="dxa"/>
              <w:bottom w:w="72" w:type="dxa"/>
              <w:right w:w="144" w:type="dxa"/>
            </w:tcMar>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1134"/>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B51718">
              <w:rPr>
                <w:rFonts w:eastAsia="標楷體" w:hint="eastAsia"/>
                <w:color w:val="000000" w:themeColor="text1"/>
                <w:kern w:val="0"/>
                <w:szCs w:val="28"/>
              </w:rPr>
              <w:t>事業總營運成本分離表（最近</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年度及平均數、預計未來</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w:t>
            </w:r>
          </w:p>
        </w:tc>
        <w:tc>
          <w:tcPr>
            <w:tcW w:w="1335" w:type="pct"/>
            <w:shd w:val="clear" w:color="auto" w:fill="auto"/>
            <w:tcMar>
              <w:top w:w="72" w:type="dxa"/>
              <w:left w:w="144" w:type="dxa"/>
              <w:bottom w:w="72" w:type="dxa"/>
              <w:right w:w="144" w:type="dxa"/>
            </w:tcMar>
            <w:hideMark/>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1134"/>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B51718">
              <w:rPr>
                <w:rFonts w:eastAsia="標楷體" w:hint="eastAsia"/>
                <w:color w:val="000000" w:themeColor="text1"/>
                <w:kern w:val="0"/>
                <w:szCs w:val="28"/>
              </w:rPr>
              <w:t>事業資金成本計算表（最近</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年度及平均數、預計未來</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w:t>
            </w:r>
          </w:p>
        </w:tc>
        <w:tc>
          <w:tcPr>
            <w:tcW w:w="1335" w:type="pct"/>
            <w:shd w:val="clear" w:color="auto" w:fill="auto"/>
            <w:tcMar>
              <w:top w:w="72" w:type="dxa"/>
              <w:left w:w="144" w:type="dxa"/>
              <w:bottom w:w="72" w:type="dxa"/>
              <w:right w:w="144" w:type="dxa"/>
            </w:tcMar>
            <w:hideMark/>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1134"/>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B51718">
              <w:rPr>
                <w:rFonts w:eastAsia="標楷體" w:hint="eastAsia"/>
                <w:color w:val="000000" w:themeColor="text1"/>
                <w:kern w:val="0"/>
                <w:szCs w:val="28"/>
              </w:rPr>
              <w:t>事業氣體費率計算表（最近</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年度及平均數、預計未來</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年度及平均數）</w:t>
            </w:r>
          </w:p>
        </w:tc>
        <w:tc>
          <w:tcPr>
            <w:tcW w:w="1335" w:type="pct"/>
            <w:shd w:val="clear" w:color="auto" w:fill="auto"/>
            <w:tcMar>
              <w:top w:w="72" w:type="dxa"/>
              <w:left w:w="144" w:type="dxa"/>
              <w:bottom w:w="72" w:type="dxa"/>
              <w:right w:w="144" w:type="dxa"/>
            </w:tcMar>
            <w:hideMark/>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794"/>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7E344D">
              <w:rPr>
                <w:rFonts w:eastAsia="標楷體" w:hint="eastAsia"/>
                <w:color w:val="000000" w:themeColor="text1"/>
                <w:kern w:val="0"/>
                <w:szCs w:val="28"/>
              </w:rPr>
              <w:t>一般共同成本分攤方法明細表</w:t>
            </w:r>
          </w:p>
        </w:tc>
        <w:tc>
          <w:tcPr>
            <w:tcW w:w="1335" w:type="pct"/>
            <w:shd w:val="clear" w:color="auto" w:fill="auto"/>
            <w:tcMar>
              <w:top w:w="72" w:type="dxa"/>
              <w:left w:w="144" w:type="dxa"/>
              <w:bottom w:w="72" w:type="dxa"/>
              <w:right w:w="144" w:type="dxa"/>
            </w:tcMar>
            <w:hideMark/>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567"/>
          <w:jc w:val="center"/>
        </w:trPr>
        <w:tc>
          <w:tcPr>
            <w:tcW w:w="2333" w:type="pct"/>
            <w:shd w:val="clear" w:color="auto" w:fill="auto"/>
            <w:tcMar>
              <w:top w:w="72" w:type="dxa"/>
              <w:left w:w="144" w:type="dxa"/>
              <w:bottom w:w="72" w:type="dxa"/>
              <w:right w:w="144" w:type="dxa"/>
            </w:tcMar>
            <w:vAlign w:val="center"/>
            <w:hideMark/>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7E344D">
              <w:rPr>
                <w:rFonts w:eastAsia="標楷體" w:hint="eastAsia"/>
                <w:color w:val="000000" w:themeColor="text1"/>
                <w:kern w:val="0"/>
                <w:szCs w:val="28"/>
              </w:rPr>
              <w:t>薪資分離明細表</w:t>
            </w:r>
          </w:p>
        </w:tc>
        <w:tc>
          <w:tcPr>
            <w:tcW w:w="1335" w:type="pct"/>
            <w:shd w:val="clear" w:color="auto" w:fill="auto"/>
            <w:tcMar>
              <w:top w:w="72" w:type="dxa"/>
              <w:left w:w="144" w:type="dxa"/>
              <w:bottom w:w="72" w:type="dxa"/>
              <w:right w:w="144" w:type="dxa"/>
            </w:tcMar>
            <w:hideMark/>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1474"/>
          <w:jc w:val="center"/>
        </w:trPr>
        <w:tc>
          <w:tcPr>
            <w:tcW w:w="2333" w:type="pct"/>
            <w:shd w:val="clear" w:color="auto" w:fill="auto"/>
            <w:tcMar>
              <w:top w:w="72" w:type="dxa"/>
              <w:left w:w="144" w:type="dxa"/>
              <w:bottom w:w="72" w:type="dxa"/>
              <w:right w:w="144" w:type="dxa"/>
            </w:tcMar>
            <w:vAlign w:val="center"/>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B51718">
              <w:rPr>
                <w:rFonts w:eastAsia="標楷體" w:hint="eastAsia"/>
                <w:color w:val="000000" w:themeColor="text1"/>
                <w:kern w:val="0"/>
                <w:szCs w:val="28"/>
              </w:rPr>
              <w:t>最近</w:t>
            </w:r>
            <w:proofErr w:type="gramStart"/>
            <w:r w:rsidRPr="00B51718">
              <w:rPr>
                <w:rFonts w:eastAsia="標楷體" w:hint="eastAsia"/>
                <w:color w:val="000000" w:themeColor="text1"/>
                <w:kern w:val="0"/>
                <w:szCs w:val="28"/>
              </w:rPr>
              <w:t>3</w:t>
            </w:r>
            <w:proofErr w:type="gramEnd"/>
            <w:r w:rsidRPr="00B51718">
              <w:rPr>
                <w:rFonts w:eastAsia="標楷體" w:hint="eastAsia"/>
                <w:color w:val="000000" w:themeColor="text1"/>
                <w:kern w:val="0"/>
                <w:szCs w:val="28"/>
              </w:rPr>
              <w:t>年度經會計師簽證之財務報告書、分離會計報表（包括部門別損益表及部門別資產負債表）</w:t>
            </w:r>
          </w:p>
        </w:tc>
        <w:tc>
          <w:tcPr>
            <w:tcW w:w="1335" w:type="pct"/>
            <w:shd w:val="clear" w:color="auto" w:fill="auto"/>
            <w:tcMar>
              <w:top w:w="72" w:type="dxa"/>
              <w:left w:w="144" w:type="dxa"/>
              <w:bottom w:w="72" w:type="dxa"/>
              <w:right w:w="144" w:type="dxa"/>
            </w:tcMar>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r w:rsidR="001474F1" w:rsidRPr="007E344D" w:rsidTr="00147E36">
        <w:trPr>
          <w:trHeight w:val="567"/>
          <w:jc w:val="center"/>
        </w:trPr>
        <w:tc>
          <w:tcPr>
            <w:tcW w:w="2333" w:type="pct"/>
            <w:shd w:val="clear" w:color="auto" w:fill="auto"/>
            <w:tcMar>
              <w:top w:w="72" w:type="dxa"/>
              <w:left w:w="144" w:type="dxa"/>
              <w:bottom w:w="72" w:type="dxa"/>
              <w:right w:w="144" w:type="dxa"/>
            </w:tcMar>
            <w:vAlign w:val="center"/>
          </w:tcPr>
          <w:p w:rsidR="001474F1" w:rsidRPr="007E344D" w:rsidRDefault="001474F1" w:rsidP="001474F1">
            <w:pPr>
              <w:pStyle w:val="a3"/>
              <w:widowControl/>
              <w:numPr>
                <w:ilvl w:val="0"/>
                <w:numId w:val="23"/>
              </w:numPr>
              <w:overflowPunct w:val="0"/>
              <w:snapToGrid w:val="0"/>
              <w:ind w:leftChars="0"/>
              <w:jc w:val="both"/>
              <w:rPr>
                <w:rFonts w:eastAsia="標楷體"/>
                <w:color w:val="000000" w:themeColor="text1"/>
                <w:kern w:val="0"/>
                <w:szCs w:val="28"/>
              </w:rPr>
            </w:pPr>
            <w:r w:rsidRPr="007E344D">
              <w:rPr>
                <w:rFonts w:eastAsia="標楷體" w:hint="eastAsia"/>
                <w:color w:val="000000" w:themeColor="text1"/>
                <w:kern w:val="0"/>
                <w:szCs w:val="28"/>
              </w:rPr>
              <w:t>其他佐證資料</w:t>
            </w:r>
          </w:p>
        </w:tc>
        <w:tc>
          <w:tcPr>
            <w:tcW w:w="1335" w:type="pct"/>
            <w:shd w:val="clear" w:color="auto" w:fill="auto"/>
            <w:tcMar>
              <w:top w:w="72" w:type="dxa"/>
              <w:left w:w="144" w:type="dxa"/>
              <w:bottom w:w="72" w:type="dxa"/>
              <w:right w:w="144" w:type="dxa"/>
            </w:tcMar>
          </w:tcPr>
          <w:p w:rsidR="001474F1" w:rsidRPr="007E344D" w:rsidRDefault="001474F1" w:rsidP="00147E36">
            <w:pPr>
              <w:widowControl/>
              <w:snapToGrid w:val="0"/>
              <w:rPr>
                <w:rFonts w:eastAsia="標楷體"/>
                <w:color w:val="000000" w:themeColor="text1"/>
                <w:kern w:val="0"/>
                <w:szCs w:val="28"/>
              </w:rPr>
            </w:pPr>
          </w:p>
        </w:tc>
        <w:tc>
          <w:tcPr>
            <w:tcW w:w="1332" w:type="pct"/>
          </w:tcPr>
          <w:p w:rsidR="001474F1" w:rsidRPr="007E344D" w:rsidRDefault="001474F1" w:rsidP="00147E36">
            <w:pPr>
              <w:widowControl/>
              <w:snapToGrid w:val="0"/>
              <w:rPr>
                <w:rFonts w:eastAsia="標楷體"/>
                <w:color w:val="000000" w:themeColor="text1"/>
                <w:kern w:val="0"/>
                <w:szCs w:val="28"/>
              </w:rPr>
            </w:pPr>
          </w:p>
        </w:tc>
      </w:tr>
    </w:tbl>
    <w:p w:rsidR="001474F1" w:rsidRDefault="001474F1" w:rsidP="001474F1">
      <w:pPr>
        <w:pStyle w:val="a8"/>
        <w:spacing w:line="500" w:lineRule="exact"/>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br w:type="page"/>
      </w:r>
    </w:p>
    <w:p w:rsidR="001474F1" w:rsidRDefault="001474F1" w:rsidP="001474F1">
      <w:pPr>
        <w:pStyle w:val="a8"/>
        <w:spacing w:afterLines="100" w:after="360" w:line="500" w:lineRule="exact"/>
        <w:rPr>
          <w:rFonts w:ascii="Times New Roman" w:eastAsia="標楷體" w:hAnsi="Times New Roman" w:cs="Times New Roman"/>
          <w:b/>
          <w:color w:val="000000" w:themeColor="text1"/>
          <w:sz w:val="28"/>
        </w:rPr>
      </w:pPr>
      <w:r>
        <w:rPr>
          <w:rFonts w:ascii="Times New Roman" w:eastAsia="標楷體" w:hAnsi="Times New Roman" w:cs="Times New Roman" w:hint="eastAsia"/>
          <w:b/>
          <w:color w:val="000000" w:themeColor="text1"/>
          <w:sz w:val="28"/>
        </w:rPr>
        <w:lastRenderedPageBreak/>
        <w:t>壹、調整後之金額及其說明</w:t>
      </w:r>
    </w:p>
    <w:p w:rsidR="001474F1" w:rsidRPr="007E344D" w:rsidRDefault="001474F1" w:rsidP="001474F1">
      <w:pPr>
        <w:pStyle w:val="a8"/>
        <w:spacing w:line="500" w:lineRule="exact"/>
        <w:jc w:val="center"/>
        <w:rPr>
          <w:rFonts w:ascii="Times New Roman" w:eastAsia="標楷體" w:hAnsi="Times New Roman" w:cs="Times New Roman"/>
          <w:b/>
          <w:color w:val="000000" w:themeColor="text1"/>
          <w:sz w:val="28"/>
        </w:rPr>
      </w:pPr>
      <w:r w:rsidRPr="007E344D">
        <w:rPr>
          <w:rFonts w:ascii="Times New Roman" w:eastAsia="標楷體" w:hAnsi="Times New Roman" w:cs="Times New Roman"/>
          <w:b/>
          <w:color w:val="000000" w:themeColor="text1"/>
          <w:sz w:val="28"/>
        </w:rPr>
        <w:t>基本費評估</w:t>
      </w:r>
      <w:r w:rsidRPr="007E344D">
        <w:rPr>
          <w:rFonts w:ascii="Times New Roman" w:eastAsia="標楷體" w:hAnsi="Times New Roman" w:cs="Times New Roman" w:hint="eastAsia"/>
          <w:b/>
          <w:color w:val="000000" w:themeColor="text1"/>
          <w:sz w:val="28"/>
        </w:rPr>
        <w:t>彙總表</w:t>
      </w:r>
      <w:r>
        <w:rPr>
          <w:rFonts w:ascii="Times New Roman" w:eastAsia="標楷體" w:hAnsi="Times New Roman" w:cs="Times New Roman" w:hint="eastAsia"/>
          <w:b/>
          <w:color w:val="000000" w:themeColor="text1"/>
          <w:sz w:val="28"/>
        </w:rPr>
        <w:t>（預計未來</w:t>
      </w:r>
      <w:proofErr w:type="gramStart"/>
      <w:r>
        <w:rPr>
          <w:rFonts w:ascii="Times New Roman" w:eastAsia="標楷體" w:hAnsi="Times New Roman" w:cs="Times New Roman"/>
          <w:b/>
          <w:color w:val="000000" w:themeColor="text1"/>
          <w:sz w:val="28"/>
        </w:rPr>
        <w:t>3</w:t>
      </w:r>
      <w:proofErr w:type="gramEnd"/>
      <w:r w:rsidRPr="007E344D">
        <w:rPr>
          <w:rFonts w:ascii="Times New Roman" w:eastAsia="標楷體" w:hAnsi="Times New Roman" w:cs="Times New Roman" w:hint="eastAsia"/>
          <w:b/>
          <w:color w:val="000000" w:themeColor="text1"/>
          <w:sz w:val="28"/>
        </w:rPr>
        <w:t>年度平均數）</w:t>
      </w:r>
    </w:p>
    <w:tbl>
      <w:tblPr>
        <w:tblStyle w:val="a4"/>
        <w:tblW w:w="4928" w:type="pct"/>
        <w:jc w:val="center"/>
        <w:tblLook w:val="04A0" w:firstRow="1" w:lastRow="0" w:firstColumn="1" w:lastColumn="0" w:noHBand="0" w:noVBand="1"/>
      </w:tblPr>
      <w:tblGrid>
        <w:gridCol w:w="6697"/>
        <w:gridCol w:w="2098"/>
        <w:gridCol w:w="917"/>
      </w:tblGrid>
      <w:tr w:rsidR="001474F1" w:rsidRPr="00B51718" w:rsidTr="00147E36">
        <w:trPr>
          <w:trHeight w:val="567"/>
          <w:jc w:val="center"/>
        </w:trPr>
        <w:tc>
          <w:tcPr>
            <w:tcW w:w="3448" w:type="pct"/>
            <w:shd w:val="clear" w:color="auto" w:fill="auto"/>
            <w:vAlign w:val="center"/>
          </w:tcPr>
          <w:p w:rsidR="001474F1" w:rsidRPr="00B51718" w:rsidRDefault="001474F1" w:rsidP="00147E36">
            <w:pPr>
              <w:jc w:val="center"/>
              <w:rPr>
                <w:rFonts w:eastAsia="標楷體"/>
                <w:b/>
                <w:color w:val="000000" w:themeColor="text1"/>
              </w:rPr>
            </w:pPr>
            <w:r w:rsidRPr="00B51718">
              <w:rPr>
                <w:rFonts w:eastAsia="標楷體"/>
                <w:b/>
                <w:color w:val="000000" w:themeColor="text1"/>
              </w:rPr>
              <w:t>項目</w:t>
            </w:r>
          </w:p>
        </w:tc>
        <w:tc>
          <w:tcPr>
            <w:tcW w:w="1080" w:type="pct"/>
            <w:shd w:val="clear" w:color="auto" w:fill="auto"/>
            <w:vAlign w:val="center"/>
          </w:tcPr>
          <w:p w:rsidR="001474F1" w:rsidRPr="00B51718" w:rsidRDefault="001474F1" w:rsidP="00147E36">
            <w:pPr>
              <w:jc w:val="center"/>
              <w:rPr>
                <w:rFonts w:eastAsia="標楷體"/>
                <w:b/>
                <w:color w:val="000000" w:themeColor="text1"/>
              </w:rPr>
            </w:pPr>
            <w:r w:rsidRPr="00B51718">
              <w:rPr>
                <w:rFonts w:eastAsia="標楷體"/>
                <w:b/>
                <w:color w:val="000000" w:themeColor="text1"/>
              </w:rPr>
              <w:t>公司提報</w:t>
            </w:r>
            <w:r>
              <w:rPr>
                <w:rFonts w:eastAsia="標楷體" w:hint="eastAsia"/>
                <w:b/>
                <w:color w:val="000000" w:themeColor="text1"/>
              </w:rPr>
              <w:t>（元）</w:t>
            </w:r>
          </w:p>
        </w:tc>
        <w:tc>
          <w:tcPr>
            <w:tcW w:w="472" w:type="pct"/>
            <w:shd w:val="clear" w:color="auto" w:fill="auto"/>
            <w:vAlign w:val="center"/>
          </w:tcPr>
          <w:p w:rsidR="001474F1" w:rsidRPr="00B51718" w:rsidRDefault="001474F1" w:rsidP="00147E36">
            <w:pPr>
              <w:jc w:val="center"/>
              <w:rPr>
                <w:rFonts w:eastAsia="標楷體"/>
                <w:b/>
                <w:color w:val="000000" w:themeColor="text1"/>
              </w:rPr>
            </w:pPr>
            <w:r w:rsidRPr="00B51718">
              <w:rPr>
                <w:rFonts w:eastAsia="標楷體" w:hint="eastAsia"/>
                <w:b/>
                <w:color w:val="000000" w:themeColor="text1"/>
              </w:rPr>
              <w:t>附註</w:t>
            </w: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總營運</w:t>
            </w:r>
            <w:r w:rsidRPr="007E344D">
              <w:rPr>
                <w:rFonts w:eastAsia="標楷體"/>
                <w:b/>
                <w:color w:val="000000" w:themeColor="text1"/>
              </w:rPr>
              <w:t>成本</w:t>
            </w:r>
            <w:r w:rsidRPr="007E344D">
              <w:rPr>
                <w:rFonts w:eastAsia="標楷體" w:hint="eastAsia"/>
                <w:b/>
                <w:color w:val="000000" w:themeColor="text1"/>
              </w:rPr>
              <w:t>【＝（一）＋（二）】</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7"/>
              </w:numPr>
              <w:overflowPunct w:val="0"/>
              <w:ind w:leftChars="0"/>
              <w:jc w:val="both"/>
              <w:rPr>
                <w:rFonts w:eastAsia="標楷體"/>
                <w:color w:val="000000" w:themeColor="text1"/>
              </w:rPr>
            </w:pPr>
            <w:r w:rsidRPr="007E344D">
              <w:rPr>
                <w:rFonts w:eastAsia="標楷體" w:hint="eastAsia"/>
                <w:color w:val="000000" w:themeColor="text1"/>
              </w:rPr>
              <w:t>營業成本【＝</w:t>
            </w:r>
            <w:r w:rsidRPr="007E344D">
              <w:rPr>
                <w:rFonts w:eastAsia="標楷體"/>
                <w:color w:val="000000" w:themeColor="text1"/>
              </w:rPr>
              <w:t>1</w:t>
            </w:r>
            <w:r w:rsidRPr="007E344D">
              <w:rPr>
                <w:rFonts w:eastAsia="標楷體" w:hint="eastAsia"/>
                <w:color w:val="000000" w:themeColor="text1"/>
              </w:rPr>
              <w:t>＋</w:t>
            </w:r>
            <w:r w:rsidRPr="007E344D">
              <w:rPr>
                <w:rFonts w:eastAsia="標楷體"/>
                <w:color w:val="000000" w:themeColor="text1"/>
              </w:rPr>
              <w:t>2</w:t>
            </w:r>
            <w:r w:rsidRPr="007E344D">
              <w:rPr>
                <w:rFonts w:eastAsia="標楷體" w:hint="eastAsia"/>
                <w:color w:val="000000" w:themeColor="text1"/>
              </w:rPr>
              <w:t>】</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3"/>
              </w:numPr>
              <w:overflowPunct w:val="0"/>
              <w:ind w:leftChars="100" w:left="240" w:firstLine="0"/>
              <w:jc w:val="both"/>
              <w:rPr>
                <w:rFonts w:eastAsia="標楷體"/>
                <w:color w:val="000000" w:themeColor="text1"/>
              </w:rPr>
            </w:pPr>
            <w:r w:rsidRPr="007E344D">
              <w:rPr>
                <w:rFonts w:eastAsia="標楷體"/>
                <w:color w:val="000000" w:themeColor="text1"/>
              </w:rPr>
              <w:t>用戶服務作業</w:t>
            </w:r>
            <w:r w:rsidRPr="00953B3B">
              <w:rPr>
                <w:rFonts w:eastAsia="標楷體" w:hint="eastAsia"/>
                <w:color w:val="000000" w:themeColor="text1"/>
                <w:spacing w:val="-30"/>
              </w:rPr>
              <w:t>【＝（</w:t>
            </w:r>
            <w:r w:rsidRPr="00953B3B">
              <w:rPr>
                <w:rFonts w:eastAsia="標楷體"/>
                <w:color w:val="000000" w:themeColor="text1"/>
                <w:spacing w:val="-30"/>
              </w:rPr>
              <w:t>1</w:t>
            </w:r>
            <w:r w:rsidRPr="00953B3B">
              <w:rPr>
                <w:rFonts w:eastAsia="標楷體" w:hint="eastAsia"/>
                <w:color w:val="000000" w:themeColor="text1"/>
                <w:spacing w:val="-30"/>
              </w:rPr>
              <w:t>）＋（</w:t>
            </w:r>
            <w:r w:rsidRPr="00953B3B">
              <w:rPr>
                <w:rFonts w:eastAsia="標楷體"/>
                <w:color w:val="000000" w:themeColor="text1"/>
                <w:spacing w:val="-30"/>
              </w:rPr>
              <w:t>2</w:t>
            </w:r>
            <w:r w:rsidRPr="00953B3B">
              <w:rPr>
                <w:rFonts w:eastAsia="標楷體" w:hint="eastAsia"/>
                <w:color w:val="000000" w:themeColor="text1"/>
                <w:spacing w:val="-30"/>
              </w:rPr>
              <w:t>）＋（</w:t>
            </w:r>
            <w:r w:rsidRPr="00953B3B">
              <w:rPr>
                <w:rFonts w:eastAsia="標楷體"/>
                <w:color w:val="000000" w:themeColor="text1"/>
                <w:spacing w:val="-30"/>
              </w:rPr>
              <w:t>3</w:t>
            </w:r>
            <w:r w:rsidRPr="00953B3B">
              <w:rPr>
                <w:rFonts w:eastAsia="標楷體" w:hint="eastAsia"/>
                <w:color w:val="000000" w:themeColor="text1"/>
                <w:spacing w:val="-30"/>
              </w:rPr>
              <w:t>）＋（</w:t>
            </w:r>
            <w:r w:rsidRPr="00953B3B">
              <w:rPr>
                <w:rFonts w:eastAsia="標楷體"/>
                <w:color w:val="000000" w:themeColor="text1"/>
                <w:spacing w:val="-30"/>
              </w:rPr>
              <w:t>4</w:t>
            </w:r>
            <w:r w:rsidRPr="00953B3B">
              <w:rPr>
                <w:rFonts w:eastAsia="標楷體" w:hint="eastAsia"/>
                <w:color w:val="000000" w:themeColor="text1"/>
                <w:spacing w:val="-30"/>
              </w:rPr>
              <w:t>）＋（</w:t>
            </w:r>
            <w:r w:rsidRPr="00953B3B">
              <w:rPr>
                <w:rFonts w:eastAsia="標楷體"/>
                <w:color w:val="000000" w:themeColor="text1"/>
                <w:spacing w:val="-30"/>
              </w:rPr>
              <w:t>5</w:t>
            </w:r>
            <w:r w:rsidRPr="00953B3B">
              <w:rPr>
                <w:rFonts w:eastAsia="標楷體" w:hint="eastAsia"/>
                <w:color w:val="000000" w:themeColor="text1"/>
                <w:spacing w:val="-30"/>
              </w:rPr>
              <w:t>）＋（</w:t>
            </w:r>
            <w:r w:rsidRPr="00953B3B">
              <w:rPr>
                <w:rFonts w:eastAsia="標楷體"/>
                <w:color w:val="000000" w:themeColor="text1"/>
                <w:spacing w:val="-30"/>
              </w:rPr>
              <w:t>6</w:t>
            </w:r>
            <w:r w:rsidRPr="00953B3B">
              <w:rPr>
                <w:rFonts w:eastAsia="標楷體" w:hint="eastAsia"/>
                <w:color w:val="000000" w:themeColor="text1"/>
                <w:spacing w:val="-30"/>
              </w:rPr>
              <w:t>）】</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r w:rsidRPr="007E344D">
              <w:rPr>
                <w:rFonts w:eastAsia="標楷體"/>
                <w:color w:val="000000" w:themeColor="text1"/>
              </w:rPr>
              <w:t>計量表</w:t>
            </w:r>
            <w:proofErr w:type="gramStart"/>
            <w:r>
              <w:rPr>
                <w:rFonts w:eastAsia="標楷體" w:hint="eastAsia"/>
                <w:color w:val="000000" w:themeColor="text1"/>
              </w:rPr>
              <w:t>—</w:t>
            </w:r>
            <w:proofErr w:type="gramEnd"/>
            <w:r>
              <w:rPr>
                <w:rFonts w:eastAsia="標楷體" w:hint="eastAsia"/>
                <w:color w:val="000000" w:themeColor="text1"/>
              </w:rPr>
              <w:t>折舊</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r w:rsidRPr="007E344D">
              <w:rPr>
                <w:rFonts w:eastAsia="標楷體"/>
                <w:color w:val="000000" w:themeColor="text1"/>
              </w:rPr>
              <w:t>計量表</w:t>
            </w:r>
            <w:proofErr w:type="gramStart"/>
            <w:r>
              <w:rPr>
                <w:rFonts w:eastAsia="標楷體" w:hint="eastAsia"/>
                <w:color w:val="000000" w:themeColor="text1"/>
              </w:rPr>
              <w:t>—</w:t>
            </w:r>
            <w:proofErr w:type="gramEnd"/>
            <w:r>
              <w:rPr>
                <w:rFonts w:eastAsia="標楷體" w:hint="eastAsia"/>
                <w:color w:val="000000" w:themeColor="text1"/>
              </w:rPr>
              <w:t>非屬折舊</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proofErr w:type="gramStart"/>
            <w:r w:rsidRPr="007E344D">
              <w:rPr>
                <w:rFonts w:eastAsia="標楷體"/>
                <w:color w:val="000000" w:themeColor="text1"/>
              </w:rPr>
              <w:t>抄表</w:t>
            </w:r>
            <w:proofErr w:type="gramEnd"/>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r w:rsidRPr="007E344D">
              <w:rPr>
                <w:rFonts w:eastAsia="標楷體"/>
                <w:color w:val="000000" w:themeColor="text1"/>
              </w:rPr>
              <w:t>收費</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r w:rsidRPr="007E344D">
              <w:rPr>
                <w:rFonts w:eastAsia="標楷體"/>
                <w:color w:val="000000" w:themeColor="text1"/>
              </w:rPr>
              <w:t>定期安全檢查</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3"/>
              </w:numPr>
              <w:overflowPunct w:val="0"/>
              <w:ind w:leftChars="100" w:left="240"/>
              <w:jc w:val="both"/>
              <w:rPr>
                <w:rFonts w:eastAsia="標楷體"/>
                <w:color w:val="000000" w:themeColor="text1"/>
              </w:rPr>
            </w:pPr>
            <w:r w:rsidRPr="007E344D">
              <w:rPr>
                <w:rFonts w:eastAsia="標楷體"/>
                <w:color w:val="000000" w:themeColor="text1"/>
              </w:rPr>
              <w:t>資訊</w:t>
            </w:r>
            <w:r w:rsidRPr="007E344D">
              <w:rPr>
                <w:rFonts w:eastAsia="標楷體" w:hint="eastAsia"/>
                <w:color w:val="000000" w:themeColor="text1"/>
              </w:rPr>
              <w:t>提供</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3"/>
              </w:numPr>
              <w:overflowPunct w:val="0"/>
              <w:ind w:leftChars="100" w:left="240" w:firstLine="0"/>
              <w:jc w:val="both"/>
              <w:rPr>
                <w:rFonts w:eastAsia="標楷體"/>
                <w:color w:val="000000" w:themeColor="text1"/>
              </w:rPr>
            </w:pPr>
            <w:r w:rsidRPr="007E344D">
              <w:rPr>
                <w:rFonts w:eastAsia="標楷體" w:hint="eastAsia"/>
                <w:color w:val="000000" w:themeColor="text1"/>
              </w:rPr>
              <w:t>表外管</w:t>
            </w:r>
            <w:proofErr w:type="gramStart"/>
            <w:r w:rsidRPr="007E344D">
              <w:rPr>
                <w:rFonts w:eastAsia="標楷體" w:hint="eastAsia"/>
                <w:color w:val="000000" w:themeColor="text1"/>
              </w:rPr>
              <w:t>汰</w:t>
            </w:r>
            <w:proofErr w:type="gramEnd"/>
            <w:r w:rsidRPr="007E344D">
              <w:rPr>
                <w:rFonts w:eastAsia="標楷體" w:hint="eastAsia"/>
                <w:color w:val="000000" w:themeColor="text1"/>
              </w:rPr>
              <w:t>換作業</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7"/>
              </w:numPr>
              <w:overflowPunct w:val="0"/>
              <w:ind w:leftChars="0"/>
              <w:jc w:val="both"/>
              <w:rPr>
                <w:rFonts w:eastAsia="標楷體"/>
                <w:color w:val="000000" w:themeColor="text1"/>
              </w:rPr>
            </w:pPr>
            <w:r w:rsidRPr="007E344D">
              <w:rPr>
                <w:rFonts w:eastAsia="標楷體" w:hint="eastAsia"/>
                <w:color w:val="000000" w:themeColor="text1"/>
              </w:rPr>
              <w:t>營業費用【＝</w:t>
            </w:r>
            <w:r w:rsidRPr="007E344D">
              <w:rPr>
                <w:rFonts w:eastAsia="標楷體"/>
                <w:color w:val="000000" w:themeColor="text1"/>
              </w:rPr>
              <w:t>1</w:t>
            </w:r>
            <w:r w:rsidRPr="007E344D">
              <w:rPr>
                <w:rFonts w:eastAsia="標楷體" w:hint="eastAsia"/>
                <w:color w:val="000000" w:themeColor="text1"/>
              </w:rPr>
              <w:t>＋</w:t>
            </w:r>
            <w:r w:rsidRPr="007E344D">
              <w:rPr>
                <w:rFonts w:eastAsia="標楷體"/>
                <w:color w:val="000000" w:themeColor="text1"/>
              </w:rPr>
              <w:t>2</w:t>
            </w:r>
            <w:r>
              <w:rPr>
                <w:rFonts w:eastAsia="標楷體" w:hint="eastAsia"/>
                <w:color w:val="000000" w:themeColor="text1"/>
              </w:rPr>
              <w:t>＋</w:t>
            </w:r>
            <w:r>
              <w:rPr>
                <w:rFonts w:eastAsia="標楷體"/>
                <w:color w:val="000000" w:themeColor="text1"/>
              </w:rPr>
              <w:t>3</w:t>
            </w:r>
            <w:r>
              <w:rPr>
                <w:rFonts w:eastAsia="標楷體" w:hint="eastAsia"/>
                <w:color w:val="000000" w:themeColor="text1"/>
              </w:rPr>
              <w:t>＋</w:t>
            </w:r>
            <w:r>
              <w:rPr>
                <w:rFonts w:eastAsia="標楷體" w:hint="eastAsia"/>
                <w:color w:val="000000" w:themeColor="text1"/>
              </w:rPr>
              <w:t>4</w:t>
            </w:r>
            <w:r>
              <w:rPr>
                <w:rFonts w:eastAsia="標楷體" w:hint="eastAsia"/>
                <w:color w:val="000000" w:themeColor="text1"/>
              </w:rPr>
              <w:t>＋</w:t>
            </w:r>
            <w:r>
              <w:rPr>
                <w:rFonts w:eastAsia="標楷體" w:hint="eastAsia"/>
                <w:color w:val="000000" w:themeColor="text1"/>
              </w:rPr>
              <w:t>5</w:t>
            </w:r>
            <w:r>
              <w:rPr>
                <w:rFonts w:eastAsia="標楷體" w:hint="eastAsia"/>
                <w:color w:val="000000" w:themeColor="text1"/>
              </w:rPr>
              <w:t>＋</w:t>
            </w:r>
            <w:r>
              <w:rPr>
                <w:rFonts w:eastAsia="標楷體" w:hint="eastAsia"/>
                <w:color w:val="000000" w:themeColor="text1"/>
              </w:rPr>
              <w:t>6</w:t>
            </w:r>
            <w:r w:rsidRPr="007E344D">
              <w:rPr>
                <w:rFonts w:eastAsia="標楷體" w:hint="eastAsia"/>
                <w:color w:val="000000" w:themeColor="text1"/>
              </w:rPr>
              <w:t>】</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25"/>
              </w:numPr>
              <w:overflowPunct w:val="0"/>
              <w:ind w:leftChars="100" w:left="240" w:firstLine="0"/>
              <w:jc w:val="both"/>
              <w:rPr>
                <w:rFonts w:eastAsia="標楷體"/>
                <w:color w:val="000000" w:themeColor="text1"/>
              </w:rPr>
            </w:pPr>
            <w:r>
              <w:rPr>
                <w:rFonts w:eastAsia="標楷體" w:hint="eastAsia"/>
                <w:color w:val="000000" w:themeColor="text1"/>
              </w:rPr>
              <w:t>計量表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Default="001474F1" w:rsidP="001474F1">
            <w:pPr>
              <w:pStyle w:val="a3"/>
              <w:numPr>
                <w:ilvl w:val="0"/>
                <w:numId w:val="25"/>
              </w:numPr>
              <w:overflowPunct w:val="0"/>
              <w:ind w:leftChars="100" w:left="240" w:firstLine="0"/>
              <w:jc w:val="both"/>
              <w:rPr>
                <w:rFonts w:eastAsia="標楷體"/>
                <w:color w:val="000000" w:themeColor="text1"/>
              </w:rPr>
            </w:pPr>
            <w:proofErr w:type="gramStart"/>
            <w:r>
              <w:rPr>
                <w:rFonts w:eastAsia="標楷體" w:hint="eastAsia"/>
                <w:color w:val="000000" w:themeColor="text1"/>
              </w:rPr>
              <w:t>抄表</w:t>
            </w:r>
            <w:proofErr w:type="gramEnd"/>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Default="001474F1" w:rsidP="001474F1">
            <w:pPr>
              <w:pStyle w:val="a3"/>
              <w:numPr>
                <w:ilvl w:val="0"/>
                <w:numId w:val="25"/>
              </w:numPr>
              <w:overflowPunct w:val="0"/>
              <w:ind w:leftChars="100" w:left="240" w:firstLine="0"/>
              <w:jc w:val="both"/>
              <w:rPr>
                <w:rFonts w:eastAsia="標楷體"/>
                <w:color w:val="000000" w:themeColor="text1"/>
              </w:rPr>
            </w:pPr>
            <w:r>
              <w:rPr>
                <w:rFonts w:eastAsia="標楷體" w:hint="eastAsia"/>
                <w:color w:val="000000" w:themeColor="text1"/>
              </w:rPr>
              <w:t>收費</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Default="001474F1" w:rsidP="001474F1">
            <w:pPr>
              <w:pStyle w:val="a3"/>
              <w:numPr>
                <w:ilvl w:val="0"/>
                <w:numId w:val="25"/>
              </w:numPr>
              <w:overflowPunct w:val="0"/>
              <w:ind w:leftChars="100" w:left="240" w:firstLine="0"/>
              <w:jc w:val="both"/>
              <w:rPr>
                <w:rFonts w:eastAsia="標楷體"/>
                <w:color w:val="000000" w:themeColor="text1"/>
              </w:rPr>
            </w:pPr>
            <w:r>
              <w:rPr>
                <w:rFonts w:eastAsia="標楷體" w:hint="eastAsia"/>
                <w:color w:val="000000" w:themeColor="text1"/>
              </w:rPr>
              <w:t>定期安全檢查</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Default="001474F1" w:rsidP="001474F1">
            <w:pPr>
              <w:pStyle w:val="a3"/>
              <w:numPr>
                <w:ilvl w:val="0"/>
                <w:numId w:val="25"/>
              </w:numPr>
              <w:overflowPunct w:val="0"/>
              <w:ind w:leftChars="100" w:left="240" w:firstLine="0"/>
              <w:jc w:val="both"/>
              <w:rPr>
                <w:rFonts w:eastAsia="標楷體"/>
                <w:color w:val="000000" w:themeColor="text1"/>
              </w:rPr>
            </w:pPr>
            <w:r>
              <w:rPr>
                <w:rFonts w:eastAsia="標楷體" w:hint="eastAsia"/>
                <w:color w:val="000000" w:themeColor="text1"/>
              </w:rPr>
              <w:t>資訊提供</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Default="001474F1" w:rsidP="001474F1">
            <w:pPr>
              <w:pStyle w:val="a3"/>
              <w:numPr>
                <w:ilvl w:val="0"/>
                <w:numId w:val="25"/>
              </w:numPr>
              <w:overflowPunct w:val="0"/>
              <w:ind w:leftChars="100" w:left="240" w:firstLine="0"/>
              <w:jc w:val="both"/>
              <w:rPr>
                <w:rFonts w:eastAsia="標楷體"/>
                <w:color w:val="000000" w:themeColor="text1"/>
              </w:rPr>
            </w:pPr>
            <w:r>
              <w:rPr>
                <w:rFonts w:eastAsia="標楷體" w:hint="eastAsia"/>
                <w:color w:val="000000" w:themeColor="text1"/>
              </w:rPr>
              <w:t>表外管</w:t>
            </w:r>
            <w:proofErr w:type="gramStart"/>
            <w:r>
              <w:rPr>
                <w:rFonts w:eastAsia="標楷體" w:hint="eastAsia"/>
                <w:color w:val="000000" w:themeColor="text1"/>
              </w:rPr>
              <w:t>汰</w:t>
            </w:r>
            <w:proofErr w:type="gramEnd"/>
            <w:r>
              <w:rPr>
                <w:rFonts w:eastAsia="標楷體" w:hint="eastAsia"/>
                <w:color w:val="000000" w:themeColor="text1"/>
              </w:rPr>
              <w:t>換作業</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資金成本</w:t>
            </w:r>
            <w:r>
              <w:rPr>
                <w:rFonts w:eastAsia="標楷體" w:hint="eastAsia"/>
                <w:b/>
                <w:color w:val="000000" w:themeColor="text1"/>
              </w:rPr>
              <w:t>【＝（五）×（六</w:t>
            </w:r>
            <w:r w:rsidRPr="007E344D">
              <w:rPr>
                <w:rFonts w:eastAsia="標楷體" w:hint="eastAsia"/>
                <w:b/>
                <w:color w:val="000000" w:themeColor="text1"/>
              </w:rPr>
              <w:t>）】</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t>可歸屬之資產</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t>合理分攤之資產</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t>可歸屬之非付息負債</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lastRenderedPageBreak/>
              <w:t>合理分攤之非付息負債</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t>費率基礎</w:t>
            </w:r>
            <w:r w:rsidRPr="001403A2">
              <w:rPr>
                <w:rFonts w:eastAsia="標楷體" w:hint="eastAsia"/>
                <w:color w:val="000000" w:themeColor="text1"/>
                <w:spacing w:val="-10"/>
              </w:rPr>
              <w:t>【＝（一）＋（二）—（三）—（四）】</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1"/>
                <w:numId w:val="12"/>
              </w:numPr>
              <w:overflowPunct w:val="0"/>
              <w:ind w:leftChars="0" w:left="0" w:firstLine="0"/>
              <w:jc w:val="both"/>
              <w:rPr>
                <w:rFonts w:eastAsia="標楷體"/>
                <w:color w:val="000000" w:themeColor="text1"/>
              </w:rPr>
            </w:pPr>
            <w:r w:rsidRPr="007E344D">
              <w:rPr>
                <w:rFonts w:eastAsia="標楷體" w:hint="eastAsia"/>
                <w:color w:val="000000" w:themeColor="text1"/>
              </w:rPr>
              <w:t>資金成本率</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總成本</w:t>
            </w:r>
            <w:r w:rsidRPr="00742455">
              <w:rPr>
                <w:rFonts w:eastAsia="標楷體" w:hint="eastAsia"/>
                <w:b/>
                <w:color w:val="000000" w:themeColor="text1"/>
                <w:spacing w:val="-20"/>
              </w:rPr>
              <w:t>（不含計量表折舊）</w:t>
            </w:r>
            <w:proofErr w:type="gramStart"/>
            <w:r w:rsidRPr="00742455">
              <w:rPr>
                <w:rFonts w:eastAsia="標楷體" w:hint="eastAsia"/>
                <w:b/>
                <w:color w:val="000000" w:themeColor="text1"/>
                <w:spacing w:val="-20"/>
              </w:rPr>
              <w:t>【</w:t>
            </w:r>
            <w:proofErr w:type="gramEnd"/>
            <w:r w:rsidRPr="00742455">
              <w:rPr>
                <w:rFonts w:eastAsia="標楷體" w:hint="eastAsia"/>
                <w:b/>
                <w:color w:val="000000" w:themeColor="text1"/>
                <w:spacing w:val="-20"/>
              </w:rPr>
              <w:t>＝</w:t>
            </w:r>
            <w:proofErr w:type="gramStart"/>
            <w:r w:rsidRPr="00742455">
              <w:rPr>
                <w:rFonts w:eastAsia="標楷體" w:hint="eastAsia"/>
                <w:b/>
                <w:color w:val="000000" w:themeColor="text1"/>
                <w:spacing w:val="-20"/>
              </w:rPr>
              <w:t>一</w:t>
            </w:r>
            <w:proofErr w:type="gramEnd"/>
            <w:r w:rsidRPr="00742455">
              <w:rPr>
                <w:rFonts w:eastAsia="標楷體" w:hint="eastAsia"/>
                <w:b/>
                <w:color w:val="000000" w:themeColor="text1"/>
                <w:spacing w:val="-20"/>
              </w:rPr>
              <w:t>＋二</w:t>
            </w:r>
            <w:proofErr w:type="gramStart"/>
            <w:r w:rsidRPr="00742455">
              <w:rPr>
                <w:rFonts w:eastAsia="標楷體" w:hint="eastAsia"/>
                <w:b/>
                <w:color w:val="000000" w:themeColor="text1"/>
                <w:spacing w:val="-20"/>
              </w:rPr>
              <w:t>—</w:t>
            </w:r>
            <w:proofErr w:type="gramEnd"/>
            <w:r>
              <w:rPr>
                <w:rFonts w:eastAsia="標楷體" w:hint="eastAsia"/>
                <w:b/>
                <w:color w:val="000000" w:themeColor="text1"/>
                <w:spacing w:val="-20"/>
              </w:rPr>
              <w:t xml:space="preserve"> </w:t>
            </w:r>
            <w:proofErr w:type="gramStart"/>
            <w:r w:rsidRPr="00742455">
              <w:rPr>
                <w:rFonts w:eastAsia="標楷體" w:hint="eastAsia"/>
                <w:b/>
                <w:color w:val="000000" w:themeColor="text1"/>
                <w:spacing w:val="-20"/>
              </w:rPr>
              <w:t>一</w:t>
            </w:r>
            <w:proofErr w:type="gramEnd"/>
            <w:r w:rsidRPr="00742455">
              <w:rPr>
                <w:rFonts w:eastAsia="標楷體" w:hint="eastAsia"/>
                <w:b/>
                <w:color w:val="000000" w:themeColor="text1"/>
                <w:spacing w:val="-20"/>
              </w:rPr>
              <w:t>（一）</w:t>
            </w:r>
            <w:r w:rsidRPr="00742455">
              <w:rPr>
                <w:rFonts w:eastAsia="標楷體"/>
                <w:b/>
                <w:color w:val="000000" w:themeColor="text1"/>
                <w:spacing w:val="-20"/>
              </w:rPr>
              <w:t>1.</w:t>
            </w:r>
            <w:r w:rsidRPr="00742455">
              <w:rPr>
                <w:rFonts w:eastAsia="標楷體" w:hint="eastAsia"/>
                <w:b/>
                <w:color w:val="000000" w:themeColor="text1"/>
                <w:spacing w:val="-20"/>
              </w:rPr>
              <w:t>（</w:t>
            </w:r>
            <w:r w:rsidRPr="00742455">
              <w:rPr>
                <w:rFonts w:eastAsia="標楷體"/>
                <w:b/>
                <w:color w:val="000000" w:themeColor="text1"/>
                <w:spacing w:val="-20"/>
              </w:rPr>
              <w:t>1</w:t>
            </w:r>
            <w:r w:rsidRPr="00742455">
              <w:rPr>
                <w:rFonts w:eastAsia="標楷體" w:hint="eastAsia"/>
                <w:b/>
                <w:color w:val="000000" w:themeColor="text1"/>
                <w:spacing w:val="-20"/>
              </w:rPr>
              <w:t>）</w:t>
            </w:r>
            <w:proofErr w:type="gramStart"/>
            <w:r w:rsidRPr="00742455">
              <w:rPr>
                <w:rFonts w:eastAsia="標楷體" w:hint="eastAsia"/>
                <w:b/>
                <w:color w:val="000000" w:themeColor="text1"/>
                <w:spacing w:val="-20"/>
              </w:rPr>
              <w:t>】</w:t>
            </w:r>
            <w:proofErr w:type="gramEnd"/>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總戶數</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42455"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單位成本（不含計量表折舊）</w:t>
            </w:r>
            <w:r w:rsidRPr="00742455">
              <w:rPr>
                <w:rFonts w:eastAsia="標楷體" w:hint="eastAsia"/>
                <w:b/>
                <w:color w:val="000000" w:themeColor="text1"/>
              </w:rPr>
              <w:t>【＝（三÷四）÷</w:t>
            </w:r>
            <w:r w:rsidRPr="00742455">
              <w:rPr>
                <w:rFonts w:eastAsia="標楷體"/>
                <w:b/>
                <w:color w:val="000000" w:themeColor="text1"/>
              </w:rPr>
              <w:t>12</w:t>
            </w:r>
            <w:r w:rsidRPr="00742455">
              <w:rPr>
                <w:rFonts w:eastAsia="標楷體" w:hint="eastAsia"/>
                <w:b/>
                <w:color w:val="000000" w:themeColor="text1"/>
              </w:rPr>
              <w:t>】</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Pr>
                <w:rFonts w:eastAsia="標楷體" w:hint="eastAsia"/>
                <w:b/>
                <w:color w:val="000000" w:themeColor="text1"/>
              </w:rPr>
              <w:t>計量表平均折舊</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8"/>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基本費（未稅）【＝五＋六】</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Pr>
                <w:rFonts w:eastAsia="標楷體" w:hint="eastAsia"/>
                <w:color w:val="000000" w:themeColor="text1"/>
              </w:rPr>
              <w:lastRenderedPageBreak/>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sidRPr="007E344D">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9"/>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基本費（含稅）【＝七×（</w:t>
            </w:r>
            <w:r w:rsidRPr="007E344D">
              <w:rPr>
                <w:rFonts w:eastAsia="標楷體"/>
                <w:b/>
                <w:color w:val="000000" w:themeColor="text1"/>
              </w:rPr>
              <w:t>1</w:t>
            </w:r>
            <w:r w:rsidRPr="007E344D">
              <w:rPr>
                <w:rFonts w:eastAsia="標楷體" w:hint="eastAsia"/>
                <w:b/>
                <w:color w:val="000000" w:themeColor="text1"/>
              </w:rPr>
              <w:t>＋營業稅率）】</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0"/>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現行基本費（含稅）</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color w:val="000000" w:themeColor="text1"/>
              </w:rPr>
              <w:t>60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color w:val="000000" w:themeColor="text1"/>
              </w:rPr>
              <w:t>85</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1</w:t>
            </w:r>
            <w:r>
              <w:rPr>
                <w:rFonts w:eastAsia="標楷體"/>
                <w:color w:val="000000" w:themeColor="text1"/>
              </w:rPr>
              <w:t>20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2</w:t>
            </w:r>
            <w:r>
              <w:rPr>
                <w:rFonts w:eastAsia="標楷體"/>
                <w:color w:val="000000" w:themeColor="text1"/>
              </w:rPr>
              <w:t>00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5</w:t>
            </w:r>
            <w:r>
              <w:rPr>
                <w:rFonts w:eastAsia="標楷體"/>
                <w:color w:val="000000" w:themeColor="text1"/>
              </w:rPr>
              <w:t>00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1</w:t>
            </w:r>
            <w:r>
              <w:rPr>
                <w:rFonts w:eastAsia="標楷體"/>
                <w:color w:val="000000" w:themeColor="text1"/>
              </w:rPr>
              <w:t>00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1</w:t>
            </w:r>
            <w:r>
              <w:rPr>
                <w:rFonts w:eastAsia="標楷體"/>
                <w:color w:val="000000" w:themeColor="text1"/>
              </w:rPr>
              <w:t>50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23</w:t>
            </w:r>
            <w:r>
              <w:rPr>
                <w:rFonts w:eastAsia="標楷體"/>
                <w:color w:val="000000" w:themeColor="text1"/>
              </w:rPr>
              <w:t>5</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Pr>
                <w:rFonts w:eastAsia="標楷體" w:hint="eastAsia"/>
                <w:color w:val="000000" w:themeColor="text1"/>
              </w:rPr>
              <w:lastRenderedPageBreak/>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3</w:t>
            </w:r>
            <w:r>
              <w:rPr>
                <w:rFonts w:eastAsia="標楷體"/>
                <w:color w:val="000000" w:themeColor="text1"/>
              </w:rPr>
              <w:t>60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4"/>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r>
              <w:rPr>
                <w:rFonts w:eastAsia="標楷體" w:hint="eastAsia"/>
                <w:color w:val="000000" w:themeColor="text1"/>
              </w:rPr>
              <w:t>8</w:t>
            </w:r>
            <w:r>
              <w:rPr>
                <w:rFonts w:eastAsia="標楷體"/>
                <w:color w:val="000000" w:themeColor="text1"/>
              </w:rPr>
              <w:t>40</w:t>
            </w: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6"/>
              </w:numPr>
              <w:overflowPunct w:val="0"/>
              <w:ind w:leftChars="0" w:left="0" w:firstLine="0"/>
              <w:jc w:val="both"/>
              <w:rPr>
                <w:rFonts w:eastAsia="標楷體"/>
                <w:b/>
                <w:color w:val="000000" w:themeColor="text1"/>
              </w:rPr>
            </w:pPr>
            <w:r w:rsidRPr="007E344D">
              <w:rPr>
                <w:rFonts w:eastAsia="標楷體" w:hint="eastAsia"/>
                <w:b/>
                <w:color w:val="000000" w:themeColor="text1"/>
              </w:rPr>
              <w:t>與現行基本費之差異【＝八—九】</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燈以上機械表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sidRPr="007E344D">
              <w:rPr>
                <w:rFonts w:eastAsia="標楷體" w:hint="eastAsia"/>
                <w:color w:val="000000" w:themeColor="text1"/>
              </w:rPr>
              <w:t>5</w:t>
            </w:r>
            <w:r w:rsidRPr="007E344D">
              <w:rPr>
                <w:rFonts w:eastAsia="標楷體" w:hint="eastAsia"/>
                <w:color w:val="000000" w:themeColor="text1"/>
              </w:rPr>
              <w:t>燈以下微電腦瓦斯表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5</w:t>
            </w:r>
            <w:proofErr w:type="gramStart"/>
            <w:r>
              <w:rPr>
                <w:rFonts w:eastAsia="標楷體"/>
                <w:color w:val="000000" w:themeColor="text1"/>
              </w:rPr>
              <w:t>–</w:t>
            </w:r>
            <w:proofErr w:type="gramEnd"/>
            <w:r w:rsidRPr="007E344D">
              <w:rPr>
                <w:rFonts w:eastAsia="標楷體" w:hint="eastAsia"/>
                <w:color w:val="000000" w:themeColor="text1"/>
              </w:rPr>
              <w:t>10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10</w:t>
            </w:r>
            <w:proofErr w:type="gramStart"/>
            <w:r>
              <w:rPr>
                <w:rFonts w:eastAsia="標楷體"/>
                <w:color w:val="000000" w:themeColor="text1"/>
              </w:rPr>
              <w:t>–</w:t>
            </w:r>
            <w:proofErr w:type="gramEnd"/>
            <w:r w:rsidRPr="007E344D">
              <w:rPr>
                <w:rFonts w:eastAsia="標楷體" w:hint="eastAsia"/>
                <w:color w:val="000000" w:themeColor="text1"/>
              </w:rPr>
              <w:t>20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Pr>
                <w:rFonts w:eastAsia="標楷體" w:hint="eastAsia"/>
                <w:color w:val="000000" w:themeColor="text1"/>
              </w:rPr>
              <w:t>20</w:t>
            </w:r>
            <w:proofErr w:type="gramStart"/>
            <w:r>
              <w:rPr>
                <w:rFonts w:eastAsia="標楷體"/>
                <w:color w:val="000000" w:themeColor="text1"/>
              </w:rPr>
              <w:t>–</w:t>
            </w:r>
            <w:proofErr w:type="gramEnd"/>
            <w:r w:rsidRPr="007E344D">
              <w:rPr>
                <w:rFonts w:eastAsia="標楷體" w:hint="eastAsia"/>
                <w:color w:val="000000" w:themeColor="text1"/>
              </w:rPr>
              <w:t>50</w:t>
            </w:r>
            <w:r w:rsidRPr="007E344D">
              <w:rPr>
                <w:rFonts w:eastAsia="標楷體" w:hint="eastAsia"/>
                <w:color w:val="000000" w:themeColor="text1"/>
              </w:rPr>
              <w:t>燈微電腦瓦斯表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48" w:type="pct"/>
            <w:shd w:val="clear" w:color="auto" w:fill="auto"/>
            <w:vAlign w:val="center"/>
          </w:tcPr>
          <w:p w:rsidR="001474F1" w:rsidRPr="007E344D" w:rsidRDefault="001474F1" w:rsidP="001474F1">
            <w:pPr>
              <w:pStyle w:val="a3"/>
              <w:numPr>
                <w:ilvl w:val="0"/>
                <w:numId w:val="15"/>
              </w:numPr>
              <w:overflowPunct w:val="0"/>
              <w:ind w:leftChars="0" w:left="0" w:firstLine="0"/>
              <w:jc w:val="both"/>
              <w:rPr>
                <w:rFonts w:eastAsia="標楷體"/>
                <w:color w:val="000000" w:themeColor="text1"/>
              </w:rPr>
            </w:pPr>
            <w:r w:rsidRPr="007E344D">
              <w:rPr>
                <w:rFonts w:eastAsia="標楷體" w:hint="eastAsia"/>
                <w:color w:val="000000" w:themeColor="text1"/>
              </w:rPr>
              <w:t>50</w:t>
            </w:r>
            <w:r w:rsidRPr="007E344D">
              <w:rPr>
                <w:rFonts w:eastAsia="標楷體" w:hint="eastAsia"/>
                <w:color w:val="000000" w:themeColor="text1"/>
              </w:rPr>
              <w:t>燈以上微電腦瓦斯表</w:t>
            </w:r>
          </w:p>
        </w:tc>
        <w:tc>
          <w:tcPr>
            <w:tcW w:w="1080" w:type="pct"/>
            <w:shd w:val="clear" w:color="auto" w:fill="auto"/>
            <w:vAlign w:val="center"/>
          </w:tcPr>
          <w:p w:rsidR="001474F1" w:rsidRPr="007E344D" w:rsidRDefault="001474F1" w:rsidP="00147E36">
            <w:pPr>
              <w:jc w:val="right"/>
              <w:rPr>
                <w:rFonts w:eastAsia="標楷體"/>
                <w:color w:val="000000" w:themeColor="text1"/>
              </w:rPr>
            </w:pPr>
          </w:p>
        </w:tc>
        <w:tc>
          <w:tcPr>
            <w:tcW w:w="472" w:type="pct"/>
            <w:shd w:val="clear" w:color="auto" w:fill="auto"/>
            <w:vAlign w:val="center"/>
          </w:tcPr>
          <w:p w:rsidR="001474F1" w:rsidRPr="007E344D" w:rsidRDefault="001474F1" w:rsidP="00147E36">
            <w:pPr>
              <w:jc w:val="center"/>
              <w:rPr>
                <w:rFonts w:eastAsia="標楷體"/>
                <w:color w:val="000000" w:themeColor="text1"/>
              </w:rPr>
            </w:pPr>
          </w:p>
        </w:tc>
      </w:tr>
    </w:tbl>
    <w:p w:rsidR="001474F1" w:rsidRDefault="001474F1" w:rsidP="001474F1">
      <w:pPr>
        <w:pStyle w:val="a8"/>
        <w:overflowPunct w:val="0"/>
        <w:spacing w:beforeLines="100" w:before="360" w:line="500" w:lineRule="exact"/>
        <w:jc w:val="center"/>
        <w:rPr>
          <w:rFonts w:ascii="Times New Roman" w:eastAsia="標楷體" w:hAnsi="Times New Roman" w:cs="Times New Roman"/>
          <w:b/>
          <w:color w:val="000000" w:themeColor="text1"/>
          <w:sz w:val="28"/>
        </w:rPr>
      </w:pPr>
      <w:r>
        <w:rPr>
          <w:rFonts w:ascii="Times New Roman" w:eastAsia="標楷體" w:hAnsi="Times New Roman" w:cs="Times New Roman"/>
          <w:b/>
          <w:color w:val="000000" w:themeColor="text1"/>
          <w:sz w:val="28"/>
        </w:rPr>
        <w:br w:type="page"/>
      </w:r>
    </w:p>
    <w:p w:rsidR="001474F1" w:rsidRPr="007E344D" w:rsidRDefault="001474F1" w:rsidP="001474F1">
      <w:pPr>
        <w:pStyle w:val="a8"/>
        <w:overflowPunct w:val="0"/>
        <w:spacing w:beforeLines="100" w:before="360" w:line="500" w:lineRule="exact"/>
        <w:jc w:val="center"/>
        <w:rPr>
          <w:rFonts w:ascii="Times New Roman" w:eastAsia="標楷體" w:hAnsi="Times New Roman" w:cs="Times New Roman"/>
          <w:b/>
          <w:color w:val="000000" w:themeColor="text1"/>
          <w:sz w:val="28"/>
        </w:rPr>
      </w:pPr>
      <w:proofErr w:type="gramStart"/>
      <w:r>
        <w:rPr>
          <w:rFonts w:ascii="Times New Roman" w:eastAsia="標楷體" w:hAnsi="Times New Roman" w:cs="Times New Roman" w:hint="eastAsia"/>
          <w:b/>
          <w:color w:val="000000" w:themeColor="text1"/>
          <w:sz w:val="28"/>
        </w:rPr>
        <w:lastRenderedPageBreak/>
        <w:t>從量費評估</w:t>
      </w:r>
      <w:proofErr w:type="gramEnd"/>
      <w:r>
        <w:rPr>
          <w:rFonts w:ascii="Times New Roman" w:eastAsia="標楷體" w:hAnsi="Times New Roman" w:cs="Times New Roman" w:hint="eastAsia"/>
          <w:b/>
          <w:color w:val="000000" w:themeColor="text1"/>
          <w:sz w:val="28"/>
        </w:rPr>
        <w:t>彙總</w:t>
      </w:r>
      <w:r w:rsidRPr="007E344D">
        <w:rPr>
          <w:rFonts w:ascii="Times New Roman" w:eastAsia="標楷體" w:hAnsi="Times New Roman" w:cs="Times New Roman" w:hint="eastAsia"/>
          <w:b/>
          <w:color w:val="000000" w:themeColor="text1"/>
          <w:sz w:val="28"/>
        </w:rPr>
        <w:t>表</w:t>
      </w:r>
      <w:r>
        <w:rPr>
          <w:rFonts w:ascii="Times New Roman" w:eastAsia="標楷體" w:hAnsi="Times New Roman" w:cs="Times New Roman" w:hint="eastAsia"/>
          <w:b/>
          <w:color w:val="000000" w:themeColor="text1"/>
          <w:sz w:val="28"/>
        </w:rPr>
        <w:t>（預計未來</w:t>
      </w:r>
      <w:proofErr w:type="gramStart"/>
      <w:r>
        <w:rPr>
          <w:rFonts w:ascii="Times New Roman" w:eastAsia="標楷體" w:hAnsi="Times New Roman" w:cs="Times New Roman"/>
          <w:b/>
          <w:color w:val="000000" w:themeColor="text1"/>
          <w:sz w:val="28"/>
        </w:rPr>
        <w:t>3</w:t>
      </w:r>
      <w:proofErr w:type="gramEnd"/>
      <w:r w:rsidRPr="007E344D">
        <w:rPr>
          <w:rFonts w:ascii="Times New Roman" w:eastAsia="標楷體" w:hAnsi="Times New Roman" w:cs="Times New Roman" w:hint="eastAsia"/>
          <w:b/>
          <w:color w:val="000000" w:themeColor="text1"/>
          <w:sz w:val="28"/>
        </w:rPr>
        <w:t>年度平均數）</w:t>
      </w:r>
    </w:p>
    <w:tbl>
      <w:tblPr>
        <w:tblStyle w:val="a4"/>
        <w:tblW w:w="5062" w:type="pct"/>
        <w:jc w:val="center"/>
        <w:tblLook w:val="04A0" w:firstRow="1" w:lastRow="0" w:firstColumn="1" w:lastColumn="0" w:noHBand="0" w:noVBand="1"/>
      </w:tblPr>
      <w:tblGrid>
        <w:gridCol w:w="6899"/>
        <w:gridCol w:w="2159"/>
        <w:gridCol w:w="918"/>
      </w:tblGrid>
      <w:tr w:rsidR="001474F1" w:rsidRPr="007E344D" w:rsidTr="00147E36">
        <w:trPr>
          <w:trHeight w:val="567"/>
          <w:jc w:val="center"/>
        </w:trPr>
        <w:tc>
          <w:tcPr>
            <w:tcW w:w="3458" w:type="pct"/>
            <w:shd w:val="clear" w:color="auto" w:fill="auto"/>
            <w:vAlign w:val="center"/>
          </w:tcPr>
          <w:p w:rsidR="001474F1" w:rsidRPr="008927DE" w:rsidRDefault="001474F1" w:rsidP="00147E36">
            <w:pPr>
              <w:jc w:val="center"/>
              <w:rPr>
                <w:rFonts w:eastAsia="標楷體"/>
                <w:b/>
                <w:color w:val="000000" w:themeColor="text1"/>
              </w:rPr>
            </w:pPr>
            <w:r w:rsidRPr="008927DE">
              <w:rPr>
                <w:rFonts w:eastAsia="標楷體"/>
                <w:b/>
                <w:color w:val="000000" w:themeColor="text1"/>
              </w:rPr>
              <w:t>項目</w:t>
            </w:r>
          </w:p>
        </w:tc>
        <w:tc>
          <w:tcPr>
            <w:tcW w:w="1082" w:type="pct"/>
            <w:shd w:val="clear" w:color="auto" w:fill="auto"/>
            <w:vAlign w:val="center"/>
          </w:tcPr>
          <w:p w:rsidR="001474F1" w:rsidRPr="008927DE" w:rsidRDefault="001474F1" w:rsidP="00147E36">
            <w:pPr>
              <w:jc w:val="center"/>
              <w:rPr>
                <w:rFonts w:eastAsia="標楷體"/>
                <w:b/>
                <w:color w:val="000000" w:themeColor="text1"/>
              </w:rPr>
            </w:pPr>
            <w:r w:rsidRPr="008927DE">
              <w:rPr>
                <w:rFonts w:eastAsia="標楷體"/>
                <w:b/>
                <w:color w:val="000000" w:themeColor="text1"/>
              </w:rPr>
              <w:t>公司提報</w:t>
            </w:r>
            <w:r>
              <w:rPr>
                <w:rFonts w:eastAsia="標楷體" w:hint="eastAsia"/>
                <w:b/>
                <w:color w:val="000000" w:themeColor="text1"/>
              </w:rPr>
              <w:t>（元）</w:t>
            </w:r>
          </w:p>
        </w:tc>
        <w:tc>
          <w:tcPr>
            <w:tcW w:w="460" w:type="pct"/>
            <w:shd w:val="clear" w:color="auto" w:fill="auto"/>
            <w:vAlign w:val="center"/>
          </w:tcPr>
          <w:p w:rsidR="001474F1" w:rsidRPr="008927DE" w:rsidRDefault="001474F1" w:rsidP="00147E36">
            <w:pPr>
              <w:jc w:val="center"/>
              <w:rPr>
                <w:rFonts w:eastAsia="標楷體"/>
                <w:b/>
                <w:color w:val="000000" w:themeColor="text1"/>
              </w:rPr>
            </w:pPr>
            <w:r w:rsidRPr="008927DE">
              <w:rPr>
                <w:rFonts w:eastAsia="標楷體" w:hint="eastAsia"/>
                <w:b/>
                <w:color w:val="000000" w:themeColor="text1"/>
              </w:rPr>
              <w:t>附註</w:t>
            </w: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b/>
                <w:color w:val="000000" w:themeColor="text1"/>
              </w:rPr>
            </w:pPr>
            <w:r w:rsidRPr="007E344D">
              <w:rPr>
                <w:rFonts w:eastAsia="標楷體" w:hint="eastAsia"/>
                <w:b/>
                <w:color w:val="000000" w:themeColor="text1"/>
              </w:rPr>
              <w:t>總營運成本【＝（一）＋（二）】</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8"/>
              </w:numPr>
              <w:overflowPunct w:val="0"/>
              <w:ind w:leftChars="0" w:left="596" w:hanging="596"/>
              <w:jc w:val="both"/>
              <w:rPr>
                <w:rFonts w:eastAsia="標楷體"/>
                <w:color w:val="000000" w:themeColor="text1"/>
              </w:rPr>
            </w:pPr>
            <w:r w:rsidRPr="007E344D">
              <w:rPr>
                <w:rFonts w:eastAsia="標楷體" w:hint="eastAsia"/>
                <w:color w:val="000000" w:themeColor="text1"/>
              </w:rPr>
              <w:t>營業成本</w:t>
            </w:r>
            <w:r>
              <w:rPr>
                <w:rFonts w:eastAsia="標楷體" w:hint="eastAsia"/>
                <w:color w:val="000000" w:themeColor="text1"/>
              </w:rPr>
              <w:t>【＝</w:t>
            </w:r>
            <w:r>
              <w:rPr>
                <w:rFonts w:eastAsia="標楷體" w:hint="eastAsia"/>
                <w:color w:val="000000" w:themeColor="text1"/>
              </w:rPr>
              <w:t>1</w:t>
            </w:r>
            <w:r>
              <w:rPr>
                <w:rFonts w:eastAsia="標楷體" w:hint="eastAsia"/>
                <w:color w:val="000000" w:themeColor="text1"/>
              </w:rPr>
              <w:t>＋</w:t>
            </w:r>
            <w:r>
              <w:rPr>
                <w:rFonts w:eastAsia="標楷體" w:hint="eastAsia"/>
                <w:color w:val="000000" w:themeColor="text1"/>
              </w:rPr>
              <w:t>2</w:t>
            </w:r>
            <w:r>
              <w:rPr>
                <w:rFonts w:eastAsia="標楷體" w:hint="eastAsia"/>
                <w:color w:val="000000" w:themeColor="text1"/>
              </w:rPr>
              <w:t>＋</w:t>
            </w:r>
            <w:r>
              <w:rPr>
                <w:rFonts w:eastAsia="標楷體"/>
                <w:color w:val="000000" w:themeColor="text1"/>
              </w:rPr>
              <w:t>3</w:t>
            </w:r>
            <w:r>
              <w:rPr>
                <w:rFonts w:eastAsia="標楷體" w:hint="eastAsia"/>
                <w:color w:val="000000" w:themeColor="text1"/>
              </w:rPr>
              <w:t>＋</w:t>
            </w:r>
            <w:r>
              <w:rPr>
                <w:rFonts w:eastAsia="標楷體" w:hint="eastAsia"/>
                <w:color w:val="000000" w:themeColor="text1"/>
              </w:rPr>
              <w:t>4</w:t>
            </w:r>
            <w:r w:rsidRPr="00D85191">
              <w:rPr>
                <w:rFonts w:eastAsia="標楷體" w:hint="eastAsia"/>
                <w:color w:val="000000" w:themeColor="text1"/>
              </w:rPr>
              <w:t>】</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7"/>
              </w:numPr>
              <w:overflowPunct w:val="0"/>
              <w:ind w:leftChars="100" w:left="240" w:firstLine="0"/>
              <w:jc w:val="both"/>
              <w:rPr>
                <w:rFonts w:eastAsia="標楷體"/>
                <w:color w:val="000000" w:themeColor="text1"/>
              </w:rPr>
            </w:pPr>
            <w:r w:rsidRPr="007E344D">
              <w:rPr>
                <w:rFonts w:eastAsia="標楷體" w:hint="eastAsia"/>
                <w:color w:val="000000" w:themeColor="text1"/>
              </w:rPr>
              <w:t>氣體</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7"/>
              </w:numPr>
              <w:overflowPunct w:val="0"/>
              <w:ind w:leftChars="100" w:left="240" w:firstLine="0"/>
              <w:jc w:val="both"/>
              <w:rPr>
                <w:rFonts w:eastAsia="標楷體"/>
                <w:color w:val="000000" w:themeColor="text1"/>
              </w:rPr>
            </w:pPr>
            <w:r w:rsidRPr="007E344D">
              <w:rPr>
                <w:rFonts w:eastAsia="標楷體" w:hint="eastAsia"/>
                <w:color w:val="000000" w:themeColor="text1"/>
              </w:rPr>
              <w:t>儲存</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7"/>
              </w:numPr>
              <w:overflowPunct w:val="0"/>
              <w:ind w:leftChars="100" w:left="240" w:firstLine="0"/>
              <w:jc w:val="both"/>
              <w:rPr>
                <w:rFonts w:eastAsia="標楷體"/>
                <w:color w:val="000000" w:themeColor="text1"/>
              </w:rPr>
            </w:pPr>
            <w:r w:rsidRPr="007E344D">
              <w:rPr>
                <w:rFonts w:eastAsia="標楷體" w:hint="eastAsia"/>
                <w:color w:val="000000" w:themeColor="text1"/>
              </w:rPr>
              <w:t>輸配</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7"/>
              </w:numPr>
              <w:overflowPunct w:val="0"/>
              <w:ind w:leftChars="100" w:left="240" w:firstLine="0"/>
              <w:jc w:val="both"/>
              <w:rPr>
                <w:rFonts w:eastAsia="標楷體"/>
                <w:color w:val="000000" w:themeColor="text1"/>
              </w:rPr>
            </w:pPr>
            <w:r w:rsidRPr="007E344D">
              <w:rPr>
                <w:rFonts w:eastAsia="標楷體" w:hint="eastAsia"/>
                <w:color w:val="000000" w:themeColor="text1"/>
              </w:rPr>
              <w:t>維修</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8"/>
              </w:numPr>
              <w:overflowPunct w:val="0"/>
              <w:ind w:leftChars="0" w:left="596" w:hanging="596"/>
              <w:jc w:val="both"/>
              <w:rPr>
                <w:rFonts w:eastAsia="標楷體"/>
                <w:color w:val="000000" w:themeColor="text1"/>
              </w:rPr>
            </w:pPr>
            <w:r w:rsidRPr="007E344D">
              <w:rPr>
                <w:rFonts w:eastAsia="標楷體" w:hint="eastAsia"/>
                <w:color w:val="000000" w:themeColor="text1"/>
              </w:rPr>
              <w:t>營業費用</w:t>
            </w:r>
            <w:r>
              <w:rPr>
                <w:rFonts w:eastAsia="標楷體" w:hint="eastAsia"/>
                <w:color w:val="000000" w:themeColor="text1"/>
              </w:rPr>
              <w:t>【＝</w:t>
            </w:r>
            <w:r>
              <w:rPr>
                <w:rFonts w:eastAsia="標楷體" w:hint="eastAsia"/>
                <w:color w:val="000000" w:themeColor="text1"/>
              </w:rPr>
              <w:t>1</w:t>
            </w:r>
            <w:r>
              <w:rPr>
                <w:rFonts w:eastAsia="標楷體" w:hint="eastAsia"/>
                <w:color w:val="000000" w:themeColor="text1"/>
              </w:rPr>
              <w:t>＋</w:t>
            </w:r>
            <w:r>
              <w:rPr>
                <w:rFonts w:eastAsia="標楷體" w:hint="eastAsia"/>
                <w:color w:val="000000" w:themeColor="text1"/>
              </w:rPr>
              <w:t>2</w:t>
            </w:r>
            <w:r>
              <w:rPr>
                <w:rFonts w:eastAsia="標楷體" w:hint="eastAsia"/>
                <w:color w:val="000000" w:themeColor="text1"/>
              </w:rPr>
              <w:t>＋</w:t>
            </w:r>
            <w:r>
              <w:rPr>
                <w:rFonts w:eastAsia="標楷體"/>
                <w:color w:val="000000" w:themeColor="text1"/>
              </w:rPr>
              <w:t>3</w:t>
            </w:r>
            <w:r>
              <w:rPr>
                <w:rFonts w:eastAsia="標楷體" w:hint="eastAsia"/>
                <w:color w:val="000000" w:themeColor="text1"/>
              </w:rPr>
              <w:t>＋</w:t>
            </w:r>
            <w:r>
              <w:rPr>
                <w:rFonts w:eastAsia="標楷體" w:hint="eastAsia"/>
                <w:color w:val="000000" w:themeColor="text1"/>
              </w:rPr>
              <w:t>4</w:t>
            </w:r>
            <w:r w:rsidRPr="00D85191">
              <w:rPr>
                <w:rFonts w:eastAsia="標楷體" w:hint="eastAsia"/>
                <w:color w:val="000000" w:themeColor="text1"/>
              </w:rPr>
              <w:t>】</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9"/>
              </w:numPr>
              <w:overflowPunct w:val="0"/>
              <w:ind w:leftChars="100" w:left="240" w:firstLine="0"/>
              <w:jc w:val="both"/>
              <w:rPr>
                <w:rFonts w:eastAsia="標楷體"/>
                <w:color w:val="000000" w:themeColor="text1"/>
              </w:rPr>
            </w:pPr>
            <w:r w:rsidRPr="007E344D">
              <w:rPr>
                <w:rFonts w:eastAsia="標楷體" w:hint="eastAsia"/>
                <w:color w:val="000000" w:themeColor="text1"/>
              </w:rPr>
              <w:t>氣體</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9"/>
              </w:numPr>
              <w:overflowPunct w:val="0"/>
              <w:ind w:leftChars="100" w:left="240" w:firstLine="0"/>
              <w:jc w:val="both"/>
              <w:rPr>
                <w:rFonts w:eastAsia="標楷體"/>
                <w:color w:val="000000" w:themeColor="text1"/>
              </w:rPr>
            </w:pPr>
            <w:r w:rsidRPr="007E344D">
              <w:rPr>
                <w:rFonts w:eastAsia="標楷體" w:hint="eastAsia"/>
                <w:color w:val="000000" w:themeColor="text1"/>
              </w:rPr>
              <w:t>儲存</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9"/>
              </w:numPr>
              <w:overflowPunct w:val="0"/>
              <w:ind w:leftChars="100" w:left="240" w:firstLine="0"/>
              <w:jc w:val="both"/>
              <w:rPr>
                <w:rFonts w:eastAsia="標楷體"/>
                <w:color w:val="000000" w:themeColor="text1"/>
              </w:rPr>
            </w:pPr>
            <w:r w:rsidRPr="007E344D">
              <w:rPr>
                <w:rFonts w:eastAsia="標楷體" w:hint="eastAsia"/>
                <w:color w:val="000000" w:themeColor="text1"/>
              </w:rPr>
              <w:t>輸配</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9"/>
              </w:numPr>
              <w:overflowPunct w:val="0"/>
              <w:ind w:leftChars="100" w:left="240" w:firstLine="0"/>
              <w:jc w:val="both"/>
              <w:rPr>
                <w:rFonts w:eastAsia="標楷體"/>
                <w:color w:val="000000" w:themeColor="text1"/>
              </w:rPr>
            </w:pPr>
            <w:r w:rsidRPr="007E344D">
              <w:rPr>
                <w:rFonts w:eastAsia="標楷體" w:hint="eastAsia"/>
                <w:color w:val="000000" w:themeColor="text1"/>
              </w:rPr>
              <w:t>維修</w:t>
            </w:r>
            <w:r w:rsidRPr="007E344D">
              <w:rPr>
                <w:rFonts w:eastAsia="標楷體"/>
                <w:color w:val="000000" w:themeColor="text1"/>
              </w:rPr>
              <w:t>作業</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b/>
                <w:color w:val="000000" w:themeColor="text1"/>
              </w:rPr>
            </w:pPr>
            <w:r w:rsidRPr="007E344D">
              <w:rPr>
                <w:rFonts w:eastAsia="標楷體" w:hint="eastAsia"/>
                <w:b/>
                <w:color w:val="000000" w:themeColor="text1"/>
              </w:rPr>
              <w:t>資金成本</w:t>
            </w:r>
            <w:r>
              <w:rPr>
                <w:rFonts w:eastAsia="標楷體" w:hint="eastAsia"/>
                <w:b/>
                <w:color w:val="000000" w:themeColor="text1"/>
              </w:rPr>
              <w:t>【＝（五）×（六</w:t>
            </w:r>
            <w:r w:rsidRPr="007E344D">
              <w:rPr>
                <w:rFonts w:eastAsia="標楷體" w:hint="eastAsia"/>
                <w:b/>
                <w:color w:val="000000" w:themeColor="text1"/>
              </w:rPr>
              <w:t>）】</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可歸屬之資產</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合理分攤之資產</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可歸屬之非付息負債</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合理分攤之非付息負債</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費率基礎</w:t>
            </w:r>
            <w:r w:rsidRPr="00D85191">
              <w:rPr>
                <w:rFonts w:eastAsia="標楷體" w:hint="eastAsia"/>
                <w:color w:val="000000" w:themeColor="text1"/>
              </w:rPr>
              <w:t>【＝（一）＋（二）—（三）—（四）】</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1"/>
              </w:numPr>
              <w:ind w:leftChars="0" w:left="0" w:firstLine="0"/>
              <w:jc w:val="both"/>
              <w:rPr>
                <w:rFonts w:eastAsia="標楷體"/>
                <w:color w:val="000000" w:themeColor="text1"/>
              </w:rPr>
            </w:pPr>
            <w:r w:rsidRPr="007E344D">
              <w:rPr>
                <w:rFonts w:eastAsia="標楷體" w:hint="eastAsia"/>
                <w:color w:val="000000" w:themeColor="text1"/>
              </w:rPr>
              <w:t>資金成本率</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b/>
                <w:color w:val="000000" w:themeColor="text1"/>
              </w:rPr>
            </w:pPr>
            <w:r w:rsidRPr="007E344D">
              <w:rPr>
                <w:rFonts w:eastAsia="標楷體" w:hint="eastAsia"/>
                <w:b/>
                <w:color w:val="000000" w:themeColor="text1"/>
              </w:rPr>
              <w:t>總成本【＝一＋二】</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color w:val="000000" w:themeColor="text1"/>
              </w:rPr>
            </w:pPr>
            <w:r w:rsidRPr="007E344D">
              <w:rPr>
                <w:rFonts w:eastAsia="標楷體" w:hint="eastAsia"/>
                <w:b/>
                <w:color w:val="000000" w:themeColor="text1"/>
              </w:rPr>
              <w:t>預計配氣量</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color w:val="000000" w:themeColor="text1"/>
              </w:rPr>
            </w:pPr>
            <w:proofErr w:type="gramStart"/>
            <w:r w:rsidRPr="007E344D">
              <w:rPr>
                <w:rFonts w:eastAsia="標楷體" w:hint="eastAsia"/>
                <w:b/>
                <w:color w:val="000000" w:themeColor="text1"/>
              </w:rPr>
              <w:t>從量費</w:t>
            </w:r>
            <w:proofErr w:type="gramEnd"/>
            <w:r w:rsidRPr="007E344D">
              <w:rPr>
                <w:rFonts w:eastAsia="標楷體" w:hint="eastAsia"/>
                <w:b/>
                <w:color w:val="000000" w:themeColor="text1"/>
              </w:rPr>
              <w:t>（未稅）【＝三÷四】</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b/>
                <w:color w:val="000000" w:themeColor="text1"/>
              </w:rPr>
            </w:pPr>
            <w:proofErr w:type="gramStart"/>
            <w:r w:rsidRPr="007E344D">
              <w:rPr>
                <w:rFonts w:eastAsia="標楷體" w:hint="eastAsia"/>
                <w:b/>
                <w:color w:val="000000" w:themeColor="text1"/>
              </w:rPr>
              <w:t>從量費</w:t>
            </w:r>
            <w:proofErr w:type="gramEnd"/>
            <w:r w:rsidRPr="007E344D">
              <w:rPr>
                <w:rFonts w:eastAsia="標楷體" w:hint="eastAsia"/>
                <w:b/>
                <w:color w:val="000000" w:themeColor="text1"/>
              </w:rPr>
              <w:t>（含稅）【＝五×（</w:t>
            </w:r>
            <w:r w:rsidRPr="007E344D">
              <w:rPr>
                <w:rFonts w:eastAsia="標楷體"/>
                <w:b/>
                <w:color w:val="000000" w:themeColor="text1"/>
              </w:rPr>
              <w:t>1</w:t>
            </w:r>
            <w:r w:rsidRPr="007E344D">
              <w:rPr>
                <w:rFonts w:eastAsia="標楷體" w:hint="eastAsia"/>
                <w:b/>
                <w:color w:val="000000" w:themeColor="text1"/>
              </w:rPr>
              <w:t>＋營業稅率）】</w:t>
            </w:r>
          </w:p>
        </w:tc>
        <w:tc>
          <w:tcPr>
            <w:tcW w:w="1082" w:type="pct"/>
            <w:shd w:val="clear" w:color="auto" w:fill="auto"/>
            <w:vAlign w:val="center"/>
          </w:tcPr>
          <w:p w:rsidR="001474F1" w:rsidRPr="007E344D" w:rsidRDefault="001474F1" w:rsidP="00147E36">
            <w:pPr>
              <w:pStyle w:val="a3"/>
              <w:tabs>
                <w:tab w:val="left" w:pos="596"/>
              </w:tabs>
              <w:overflowPunct w:val="0"/>
              <w:ind w:leftChars="0" w:left="596"/>
              <w:jc w:val="right"/>
              <w:rPr>
                <w:rFonts w:eastAsia="標楷體"/>
                <w:b/>
                <w:color w:val="000000" w:themeColor="text1"/>
              </w:rPr>
            </w:pPr>
          </w:p>
        </w:tc>
        <w:tc>
          <w:tcPr>
            <w:tcW w:w="460" w:type="pct"/>
            <w:shd w:val="clear" w:color="auto" w:fill="auto"/>
            <w:vAlign w:val="center"/>
          </w:tcPr>
          <w:p w:rsidR="001474F1" w:rsidRPr="007E344D" w:rsidRDefault="001474F1" w:rsidP="00147E36">
            <w:pPr>
              <w:pStyle w:val="a3"/>
              <w:tabs>
                <w:tab w:val="left" w:pos="596"/>
              </w:tabs>
              <w:overflowPunct w:val="0"/>
              <w:ind w:leftChars="0" w:left="596"/>
              <w:jc w:val="center"/>
              <w:rPr>
                <w:rFonts w:eastAsia="標楷體"/>
                <w:b/>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1"/>
              </w:numPr>
              <w:tabs>
                <w:tab w:val="left" w:pos="596"/>
              </w:tabs>
              <w:overflowPunct w:val="0"/>
              <w:ind w:leftChars="0"/>
              <w:jc w:val="both"/>
              <w:rPr>
                <w:rFonts w:eastAsia="標楷體"/>
                <w:color w:val="000000" w:themeColor="text1"/>
              </w:rPr>
            </w:pPr>
            <w:r w:rsidRPr="007E344D">
              <w:rPr>
                <w:rFonts w:eastAsia="標楷體" w:hint="eastAsia"/>
                <w:color w:val="000000" w:themeColor="text1"/>
              </w:rPr>
              <w:lastRenderedPageBreak/>
              <w:t>現行價格</w:t>
            </w:r>
          </w:p>
        </w:tc>
        <w:tc>
          <w:tcPr>
            <w:tcW w:w="1082" w:type="pct"/>
            <w:shd w:val="clear" w:color="auto" w:fill="auto"/>
            <w:vAlign w:val="center"/>
          </w:tcPr>
          <w:p w:rsidR="001474F1" w:rsidRPr="007E344D" w:rsidRDefault="001474F1" w:rsidP="00147E36">
            <w:pPr>
              <w:pStyle w:val="a3"/>
              <w:tabs>
                <w:tab w:val="left" w:pos="596"/>
              </w:tabs>
              <w:overflowPunct w:val="0"/>
              <w:ind w:leftChars="0" w:left="596"/>
              <w:jc w:val="right"/>
              <w:rPr>
                <w:rFonts w:eastAsia="標楷體"/>
                <w:b/>
                <w:color w:val="000000" w:themeColor="text1"/>
              </w:rPr>
            </w:pPr>
          </w:p>
        </w:tc>
        <w:tc>
          <w:tcPr>
            <w:tcW w:w="460" w:type="pct"/>
            <w:shd w:val="clear" w:color="auto" w:fill="auto"/>
            <w:vAlign w:val="center"/>
          </w:tcPr>
          <w:p w:rsidR="001474F1" w:rsidRPr="007E344D" w:rsidRDefault="001474F1" w:rsidP="00147E36">
            <w:pPr>
              <w:pStyle w:val="a3"/>
              <w:tabs>
                <w:tab w:val="left" w:pos="596"/>
              </w:tabs>
              <w:overflowPunct w:val="0"/>
              <w:ind w:leftChars="0" w:left="596"/>
              <w:jc w:val="center"/>
              <w:rPr>
                <w:rFonts w:eastAsia="標楷體"/>
                <w:b/>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1"/>
              </w:numPr>
              <w:tabs>
                <w:tab w:val="left" w:pos="596"/>
              </w:tabs>
              <w:overflowPunct w:val="0"/>
              <w:ind w:leftChars="0"/>
              <w:jc w:val="both"/>
              <w:rPr>
                <w:rFonts w:eastAsia="標楷體"/>
                <w:color w:val="000000" w:themeColor="text1"/>
              </w:rPr>
            </w:pPr>
            <w:r w:rsidRPr="007E344D">
              <w:rPr>
                <w:rFonts w:eastAsia="標楷體" w:hint="eastAsia"/>
                <w:color w:val="000000" w:themeColor="text1"/>
              </w:rPr>
              <w:t>調整後價格</w:t>
            </w:r>
          </w:p>
        </w:tc>
        <w:tc>
          <w:tcPr>
            <w:tcW w:w="1082" w:type="pct"/>
            <w:shd w:val="clear" w:color="auto" w:fill="auto"/>
            <w:vAlign w:val="center"/>
          </w:tcPr>
          <w:p w:rsidR="001474F1" w:rsidRPr="007E344D" w:rsidRDefault="001474F1" w:rsidP="00147E36">
            <w:pPr>
              <w:pStyle w:val="a3"/>
              <w:tabs>
                <w:tab w:val="left" w:pos="596"/>
              </w:tabs>
              <w:overflowPunct w:val="0"/>
              <w:ind w:leftChars="0" w:left="596"/>
              <w:jc w:val="right"/>
              <w:rPr>
                <w:rFonts w:eastAsia="標楷體"/>
                <w:b/>
                <w:color w:val="000000" w:themeColor="text1"/>
              </w:rPr>
            </w:pPr>
          </w:p>
        </w:tc>
        <w:tc>
          <w:tcPr>
            <w:tcW w:w="460" w:type="pct"/>
            <w:shd w:val="clear" w:color="auto" w:fill="auto"/>
            <w:vAlign w:val="center"/>
          </w:tcPr>
          <w:p w:rsidR="001474F1" w:rsidRPr="007E344D" w:rsidRDefault="001474F1" w:rsidP="00147E36">
            <w:pPr>
              <w:pStyle w:val="a3"/>
              <w:tabs>
                <w:tab w:val="left" w:pos="596"/>
              </w:tabs>
              <w:overflowPunct w:val="0"/>
              <w:ind w:leftChars="0" w:left="596"/>
              <w:jc w:val="center"/>
              <w:rPr>
                <w:rFonts w:eastAsia="標楷體"/>
                <w:b/>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b/>
                <w:color w:val="000000" w:themeColor="text1"/>
              </w:rPr>
            </w:pPr>
            <w:r w:rsidRPr="007E344D">
              <w:rPr>
                <w:rFonts w:eastAsia="標楷體" w:hint="eastAsia"/>
                <w:b/>
                <w:color w:val="000000" w:themeColor="text1"/>
              </w:rPr>
              <w:t>天然氣購入成本</w:t>
            </w:r>
          </w:p>
        </w:tc>
        <w:tc>
          <w:tcPr>
            <w:tcW w:w="1082" w:type="pct"/>
            <w:shd w:val="clear" w:color="auto" w:fill="auto"/>
            <w:vAlign w:val="center"/>
          </w:tcPr>
          <w:p w:rsidR="001474F1" w:rsidRPr="007E344D" w:rsidRDefault="001474F1" w:rsidP="00147E36">
            <w:pPr>
              <w:pStyle w:val="a3"/>
              <w:tabs>
                <w:tab w:val="left" w:pos="596"/>
              </w:tabs>
              <w:overflowPunct w:val="0"/>
              <w:ind w:leftChars="0" w:left="596"/>
              <w:jc w:val="right"/>
              <w:rPr>
                <w:rFonts w:eastAsia="標楷體"/>
                <w:b/>
                <w:color w:val="000000" w:themeColor="text1"/>
              </w:rPr>
            </w:pPr>
          </w:p>
        </w:tc>
        <w:tc>
          <w:tcPr>
            <w:tcW w:w="460" w:type="pct"/>
            <w:shd w:val="clear" w:color="auto" w:fill="auto"/>
            <w:vAlign w:val="center"/>
          </w:tcPr>
          <w:p w:rsidR="001474F1" w:rsidRPr="007E344D" w:rsidRDefault="001474F1" w:rsidP="00147E36">
            <w:pPr>
              <w:pStyle w:val="a3"/>
              <w:tabs>
                <w:tab w:val="left" w:pos="596"/>
              </w:tabs>
              <w:overflowPunct w:val="0"/>
              <w:ind w:leftChars="0" w:left="596"/>
              <w:jc w:val="center"/>
              <w:rPr>
                <w:rFonts w:eastAsia="標楷體"/>
                <w:b/>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2"/>
              </w:numPr>
              <w:ind w:leftChars="0"/>
              <w:jc w:val="both"/>
              <w:rPr>
                <w:rFonts w:eastAsia="標楷體"/>
                <w:color w:val="000000" w:themeColor="text1"/>
              </w:rPr>
            </w:pPr>
            <w:r w:rsidRPr="007E344D">
              <w:rPr>
                <w:rFonts w:eastAsia="標楷體" w:hint="eastAsia"/>
                <w:color w:val="000000" w:themeColor="text1"/>
              </w:rPr>
              <w:t>現行價格</w:t>
            </w:r>
            <w:proofErr w:type="gramStart"/>
            <w:r w:rsidRPr="007E344D">
              <w:rPr>
                <w:rFonts w:eastAsia="標楷體" w:hint="eastAsia"/>
                <w:color w:val="000000" w:themeColor="text1"/>
              </w:rPr>
              <w:t>採</w:t>
            </w:r>
            <w:proofErr w:type="gramEnd"/>
            <w:r w:rsidRPr="007E344D">
              <w:rPr>
                <w:rFonts w:eastAsia="標楷體" w:hint="eastAsia"/>
                <w:color w:val="000000" w:themeColor="text1"/>
              </w:rPr>
              <w:t>計</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2"/>
              </w:numPr>
              <w:ind w:leftChars="0"/>
              <w:jc w:val="both"/>
              <w:rPr>
                <w:rFonts w:eastAsia="標楷體"/>
                <w:color w:val="000000" w:themeColor="text1"/>
              </w:rPr>
            </w:pPr>
            <w:r w:rsidRPr="007E344D">
              <w:rPr>
                <w:rFonts w:eastAsia="標楷體" w:hint="eastAsia"/>
                <w:color w:val="000000" w:themeColor="text1"/>
              </w:rPr>
              <w:t>調整後價格</w:t>
            </w:r>
            <w:proofErr w:type="gramStart"/>
            <w:r w:rsidRPr="007E344D">
              <w:rPr>
                <w:rFonts w:eastAsia="標楷體" w:hint="eastAsia"/>
                <w:color w:val="000000" w:themeColor="text1"/>
              </w:rPr>
              <w:t>採</w:t>
            </w:r>
            <w:proofErr w:type="gramEnd"/>
            <w:r w:rsidRPr="007E344D">
              <w:rPr>
                <w:rFonts w:eastAsia="標楷體" w:hint="eastAsia"/>
                <w:color w:val="000000" w:themeColor="text1"/>
              </w:rPr>
              <w:t>計</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16"/>
              </w:numPr>
              <w:overflowPunct w:val="0"/>
              <w:ind w:leftChars="0" w:left="0" w:firstLine="0"/>
              <w:jc w:val="both"/>
              <w:rPr>
                <w:rFonts w:eastAsia="標楷體"/>
                <w:color w:val="000000" w:themeColor="text1"/>
              </w:rPr>
            </w:pPr>
            <w:proofErr w:type="gramStart"/>
            <w:r>
              <w:rPr>
                <w:rFonts w:eastAsia="標楷體" w:hint="eastAsia"/>
                <w:b/>
                <w:color w:val="000000" w:themeColor="text1"/>
              </w:rPr>
              <w:t>從量費扣除</w:t>
            </w:r>
            <w:proofErr w:type="gramEnd"/>
            <w:r>
              <w:rPr>
                <w:rFonts w:eastAsia="標楷體" w:hint="eastAsia"/>
                <w:b/>
                <w:color w:val="000000" w:themeColor="text1"/>
              </w:rPr>
              <w:t>天然氣購入成本金</w:t>
            </w:r>
            <w:r w:rsidRPr="007E344D">
              <w:rPr>
                <w:rFonts w:eastAsia="標楷體" w:hint="eastAsia"/>
                <w:b/>
                <w:color w:val="000000" w:themeColor="text1"/>
              </w:rPr>
              <w:t>額</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0"/>
              </w:numPr>
              <w:ind w:leftChars="0" w:left="0" w:firstLine="0"/>
              <w:jc w:val="both"/>
              <w:rPr>
                <w:rFonts w:eastAsia="標楷體"/>
                <w:color w:val="000000" w:themeColor="text1"/>
              </w:rPr>
            </w:pPr>
            <w:r w:rsidRPr="007E344D">
              <w:rPr>
                <w:rFonts w:eastAsia="標楷體" w:hint="eastAsia"/>
                <w:color w:val="000000" w:themeColor="text1"/>
              </w:rPr>
              <w:t>以現行價格為基準</w:t>
            </w:r>
            <w:r w:rsidRPr="00D85191">
              <w:rPr>
                <w:rFonts w:eastAsia="標楷體" w:hint="eastAsia"/>
                <w:color w:val="000000" w:themeColor="text1"/>
              </w:rPr>
              <w:t>【＝六</w:t>
            </w:r>
            <w:r>
              <w:rPr>
                <w:rFonts w:eastAsia="標楷體" w:hint="eastAsia"/>
                <w:color w:val="000000" w:themeColor="text1"/>
              </w:rPr>
              <w:t>（一）</w:t>
            </w:r>
            <w:r w:rsidRPr="00D85191">
              <w:rPr>
                <w:rFonts w:eastAsia="標楷體" w:hint="eastAsia"/>
                <w:color w:val="000000" w:themeColor="text1"/>
              </w:rPr>
              <w:t>—七</w:t>
            </w:r>
            <w:r>
              <w:rPr>
                <w:rFonts w:eastAsia="標楷體" w:hint="eastAsia"/>
                <w:color w:val="000000" w:themeColor="text1"/>
              </w:rPr>
              <w:t>（一）</w:t>
            </w:r>
            <w:r w:rsidRPr="00D85191">
              <w:rPr>
                <w:rFonts w:eastAsia="標楷體" w:hint="eastAsia"/>
                <w:color w:val="000000" w:themeColor="text1"/>
              </w:rPr>
              <w:t>】</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tr w:rsidR="001474F1" w:rsidRPr="007E344D" w:rsidTr="00147E36">
        <w:trPr>
          <w:trHeight w:val="567"/>
          <w:jc w:val="center"/>
        </w:trPr>
        <w:tc>
          <w:tcPr>
            <w:tcW w:w="3458" w:type="pct"/>
            <w:shd w:val="clear" w:color="auto" w:fill="auto"/>
            <w:vAlign w:val="center"/>
          </w:tcPr>
          <w:p w:rsidR="001474F1" w:rsidRPr="007E344D" w:rsidRDefault="001474F1" w:rsidP="001474F1">
            <w:pPr>
              <w:pStyle w:val="a3"/>
              <w:numPr>
                <w:ilvl w:val="0"/>
                <w:numId w:val="20"/>
              </w:numPr>
              <w:ind w:leftChars="0" w:left="0" w:firstLine="0"/>
              <w:jc w:val="both"/>
              <w:rPr>
                <w:rFonts w:eastAsia="標楷體"/>
                <w:color w:val="000000" w:themeColor="text1"/>
              </w:rPr>
            </w:pPr>
            <w:r w:rsidRPr="007E344D">
              <w:rPr>
                <w:rFonts w:eastAsia="標楷體" w:hint="eastAsia"/>
                <w:color w:val="000000" w:themeColor="text1"/>
              </w:rPr>
              <w:t>以調整後價格為基準</w:t>
            </w:r>
            <w:r w:rsidRPr="00D85191">
              <w:rPr>
                <w:rFonts w:eastAsia="標楷體" w:hint="eastAsia"/>
                <w:color w:val="000000" w:themeColor="text1"/>
              </w:rPr>
              <w:t>【＝六</w:t>
            </w:r>
            <w:r>
              <w:rPr>
                <w:rFonts w:eastAsia="標楷體" w:hint="eastAsia"/>
                <w:color w:val="000000" w:themeColor="text1"/>
              </w:rPr>
              <w:t>（二）</w:t>
            </w:r>
            <w:r w:rsidRPr="00D85191">
              <w:rPr>
                <w:rFonts w:eastAsia="標楷體" w:hint="eastAsia"/>
                <w:color w:val="000000" w:themeColor="text1"/>
              </w:rPr>
              <w:t>—七</w:t>
            </w:r>
            <w:r>
              <w:rPr>
                <w:rFonts w:eastAsia="標楷體" w:hint="eastAsia"/>
                <w:color w:val="000000" w:themeColor="text1"/>
              </w:rPr>
              <w:t>（二）</w:t>
            </w:r>
            <w:r w:rsidRPr="00D85191">
              <w:rPr>
                <w:rFonts w:eastAsia="標楷體" w:hint="eastAsia"/>
                <w:color w:val="000000" w:themeColor="text1"/>
              </w:rPr>
              <w:t>】</w:t>
            </w:r>
          </w:p>
        </w:tc>
        <w:tc>
          <w:tcPr>
            <w:tcW w:w="1082" w:type="pct"/>
            <w:shd w:val="clear" w:color="auto" w:fill="auto"/>
            <w:vAlign w:val="center"/>
          </w:tcPr>
          <w:p w:rsidR="001474F1" w:rsidRPr="007E344D" w:rsidRDefault="001474F1" w:rsidP="00147E36">
            <w:pPr>
              <w:jc w:val="right"/>
              <w:rPr>
                <w:rFonts w:eastAsia="標楷體"/>
                <w:color w:val="000000" w:themeColor="text1"/>
              </w:rPr>
            </w:pPr>
          </w:p>
        </w:tc>
        <w:tc>
          <w:tcPr>
            <w:tcW w:w="460" w:type="pct"/>
            <w:shd w:val="clear" w:color="auto" w:fill="auto"/>
            <w:vAlign w:val="center"/>
          </w:tcPr>
          <w:p w:rsidR="001474F1" w:rsidRPr="007E344D" w:rsidRDefault="001474F1" w:rsidP="00147E36">
            <w:pPr>
              <w:jc w:val="center"/>
              <w:rPr>
                <w:rFonts w:eastAsia="標楷體"/>
                <w:color w:val="000000" w:themeColor="text1"/>
              </w:rPr>
            </w:pPr>
          </w:p>
        </w:tc>
      </w:tr>
      <w:bookmarkEnd w:id="0"/>
    </w:tbl>
    <w:p w:rsidR="001474F1" w:rsidRPr="00A45252" w:rsidRDefault="001474F1" w:rsidP="001474F1">
      <w:pPr>
        <w:widowControl/>
        <w:rPr>
          <w:b/>
        </w:rPr>
      </w:pPr>
    </w:p>
    <w:p w:rsidR="001474F1" w:rsidRDefault="001474F1" w:rsidP="001474F1">
      <w:pPr>
        <w:widowControl/>
        <w:spacing w:line="500" w:lineRule="exact"/>
        <w:ind w:left="601" w:hangingChars="250" w:hanging="601"/>
        <w:jc w:val="both"/>
        <w:rPr>
          <w:b/>
        </w:rPr>
      </w:pPr>
      <w:r>
        <w:rPr>
          <w:b/>
        </w:rPr>
        <w:br w:type="page"/>
      </w:r>
    </w:p>
    <w:p w:rsidR="001474F1" w:rsidRDefault="001474F1" w:rsidP="001474F1">
      <w:pPr>
        <w:widowControl/>
        <w:spacing w:afterLines="50" w:after="180" w:line="500" w:lineRule="exact"/>
        <w:ind w:left="701" w:hangingChars="250" w:hanging="701"/>
        <w:jc w:val="both"/>
        <w:rPr>
          <w:rFonts w:eastAsia="標楷體"/>
          <w:b/>
          <w:color w:val="000000" w:themeColor="text1"/>
          <w:sz w:val="28"/>
        </w:rPr>
      </w:pPr>
      <w:r>
        <w:rPr>
          <w:rFonts w:eastAsia="標楷體" w:hint="eastAsia"/>
          <w:b/>
          <w:color w:val="000000" w:themeColor="text1"/>
          <w:sz w:val="28"/>
        </w:rPr>
        <w:lastRenderedPageBreak/>
        <w:t>貳、事業</w:t>
      </w:r>
      <w:r w:rsidRPr="00DC57F3">
        <w:rPr>
          <w:rFonts w:eastAsia="標楷體" w:hint="eastAsia"/>
          <w:b/>
          <w:color w:val="000000" w:themeColor="text1"/>
          <w:sz w:val="28"/>
        </w:rPr>
        <w:t>總營運成本分離表（最近</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年度及平均數、預計未來</w:t>
      </w:r>
      <w:proofErr w:type="gramStart"/>
      <w:r w:rsidRPr="00DC57F3">
        <w:rPr>
          <w:rFonts w:eastAsia="標楷體"/>
          <w:b/>
          <w:color w:val="000000" w:themeColor="text1"/>
          <w:sz w:val="28"/>
        </w:rPr>
        <w:t>3</w:t>
      </w:r>
      <w:proofErr w:type="gramEnd"/>
      <w:r w:rsidRPr="00DC57F3">
        <w:rPr>
          <w:rFonts w:eastAsia="標楷體" w:hint="eastAsia"/>
          <w:b/>
          <w:color w:val="000000" w:themeColor="text1"/>
          <w:sz w:val="28"/>
        </w:rPr>
        <w:t>年度及平均數）</w:t>
      </w:r>
    </w:p>
    <w:p w:rsidR="001474F1" w:rsidRPr="008A1EDD"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8A1EDD">
        <w:rPr>
          <w:rFonts w:eastAsia="標楷體" w:hint="eastAsia"/>
          <w:color w:val="000000" w:themeColor="text1"/>
          <w:sz w:val="28"/>
        </w:rPr>
        <w:t>公用天然氣事業天然氣售價及基本收費計算準則</w:t>
      </w:r>
      <w:r>
        <w:rPr>
          <w:rFonts w:eastAsia="標楷體" w:hint="eastAsia"/>
          <w:color w:val="000000" w:themeColor="text1"/>
          <w:sz w:val="28"/>
        </w:rPr>
        <w:t>》附件一編製。</w:t>
      </w:r>
    </w:p>
    <w:p w:rsidR="001474F1" w:rsidRDefault="001474F1" w:rsidP="001474F1">
      <w:pPr>
        <w:widowControl/>
        <w:spacing w:beforeLines="100" w:before="360" w:afterLines="50" w:after="180" w:line="500" w:lineRule="exact"/>
        <w:ind w:left="561" w:hangingChars="200" w:hanging="561"/>
        <w:jc w:val="both"/>
        <w:rPr>
          <w:rFonts w:eastAsia="標楷體"/>
          <w:b/>
          <w:color w:val="000000" w:themeColor="text1"/>
          <w:sz w:val="28"/>
        </w:rPr>
      </w:pPr>
      <w:r w:rsidRPr="008066AF">
        <w:rPr>
          <w:rFonts w:eastAsia="標楷體" w:hint="eastAsia"/>
          <w:b/>
          <w:color w:val="000000" w:themeColor="text1"/>
          <w:sz w:val="28"/>
        </w:rPr>
        <w:t>參、事業資金成本計算表（最近</w:t>
      </w:r>
      <w:proofErr w:type="gramStart"/>
      <w:r w:rsidRPr="008066AF">
        <w:rPr>
          <w:rFonts w:eastAsia="標楷體"/>
          <w:b/>
          <w:color w:val="000000" w:themeColor="text1"/>
          <w:sz w:val="28"/>
        </w:rPr>
        <w:t>3</w:t>
      </w:r>
      <w:proofErr w:type="gramEnd"/>
      <w:r w:rsidRPr="008066AF">
        <w:rPr>
          <w:rFonts w:eastAsia="標楷體" w:hint="eastAsia"/>
          <w:b/>
          <w:color w:val="000000" w:themeColor="text1"/>
          <w:sz w:val="28"/>
        </w:rPr>
        <w:t>年度及平均數、預計未來</w:t>
      </w:r>
      <w:proofErr w:type="gramStart"/>
      <w:r w:rsidRPr="008066AF">
        <w:rPr>
          <w:rFonts w:eastAsia="標楷體"/>
          <w:b/>
          <w:color w:val="000000" w:themeColor="text1"/>
          <w:sz w:val="28"/>
        </w:rPr>
        <w:t>3</w:t>
      </w:r>
      <w:proofErr w:type="gramEnd"/>
      <w:r w:rsidRPr="008066AF">
        <w:rPr>
          <w:rFonts w:eastAsia="標楷體" w:hint="eastAsia"/>
          <w:b/>
          <w:color w:val="000000" w:themeColor="text1"/>
          <w:sz w:val="28"/>
        </w:rPr>
        <w:t>年度及平均數）</w:t>
      </w:r>
    </w:p>
    <w:p w:rsidR="001474F1" w:rsidRPr="008A1EDD"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8A1EDD">
        <w:rPr>
          <w:rFonts w:eastAsia="標楷體" w:hint="eastAsia"/>
          <w:color w:val="000000" w:themeColor="text1"/>
          <w:sz w:val="28"/>
        </w:rPr>
        <w:t>公用天然氣事業天然氣售價及基本收費計算準則</w:t>
      </w:r>
      <w:r>
        <w:rPr>
          <w:rFonts w:eastAsia="標楷體" w:hint="eastAsia"/>
          <w:color w:val="000000" w:themeColor="text1"/>
          <w:sz w:val="28"/>
        </w:rPr>
        <w:t>》附件二編製。</w:t>
      </w:r>
    </w:p>
    <w:p w:rsidR="001474F1" w:rsidRDefault="001474F1" w:rsidP="001474F1">
      <w:pPr>
        <w:widowControl/>
        <w:spacing w:beforeLines="100" w:before="360" w:afterLines="50" w:after="180" w:line="500" w:lineRule="exact"/>
        <w:ind w:left="561" w:hangingChars="200" w:hanging="561"/>
        <w:jc w:val="both"/>
        <w:rPr>
          <w:rFonts w:eastAsia="標楷體"/>
          <w:b/>
          <w:color w:val="000000" w:themeColor="text1"/>
          <w:sz w:val="28"/>
        </w:rPr>
      </w:pPr>
      <w:r>
        <w:rPr>
          <w:rFonts w:eastAsia="標楷體" w:hint="eastAsia"/>
          <w:b/>
          <w:color w:val="000000" w:themeColor="text1"/>
          <w:sz w:val="28"/>
        </w:rPr>
        <w:t>肆、</w:t>
      </w:r>
      <w:r w:rsidRPr="008066AF">
        <w:rPr>
          <w:rFonts w:eastAsia="標楷體" w:hint="eastAsia"/>
          <w:b/>
          <w:color w:val="000000" w:themeColor="text1"/>
          <w:sz w:val="28"/>
        </w:rPr>
        <w:t>事業氣體費率計算表，包括預計未來配氣量及用戶數（預計未來</w:t>
      </w:r>
      <w:proofErr w:type="gramStart"/>
      <w:r w:rsidRPr="008066AF">
        <w:rPr>
          <w:rFonts w:eastAsia="標楷體"/>
          <w:b/>
          <w:color w:val="000000" w:themeColor="text1"/>
          <w:sz w:val="28"/>
        </w:rPr>
        <w:t>3</w:t>
      </w:r>
      <w:proofErr w:type="gramEnd"/>
      <w:r w:rsidRPr="008066AF">
        <w:rPr>
          <w:rFonts w:eastAsia="標楷體" w:hint="eastAsia"/>
          <w:b/>
          <w:color w:val="000000" w:themeColor="text1"/>
          <w:sz w:val="28"/>
        </w:rPr>
        <w:t>年度及平均數）</w:t>
      </w:r>
    </w:p>
    <w:p w:rsidR="001474F1" w:rsidRPr="008A1EDD"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8A1EDD">
        <w:rPr>
          <w:rFonts w:eastAsia="標楷體" w:hint="eastAsia"/>
          <w:color w:val="000000" w:themeColor="text1"/>
          <w:sz w:val="28"/>
        </w:rPr>
        <w:t>公用天然氣事業天然氣售價及基本收費計算準則</w:t>
      </w:r>
      <w:r>
        <w:rPr>
          <w:rFonts w:eastAsia="標楷體" w:hint="eastAsia"/>
          <w:color w:val="000000" w:themeColor="text1"/>
          <w:sz w:val="28"/>
        </w:rPr>
        <w:t>》附件三編製。</w:t>
      </w:r>
    </w:p>
    <w:p w:rsidR="001474F1" w:rsidRDefault="001474F1" w:rsidP="001474F1">
      <w:pPr>
        <w:widowControl/>
        <w:spacing w:beforeLines="100" w:before="360" w:afterLines="50" w:after="180" w:line="500" w:lineRule="exact"/>
        <w:ind w:left="561" w:hangingChars="200" w:hanging="561"/>
        <w:jc w:val="both"/>
        <w:rPr>
          <w:rFonts w:eastAsia="標楷體"/>
          <w:b/>
          <w:color w:val="000000" w:themeColor="text1"/>
          <w:sz w:val="28"/>
        </w:rPr>
      </w:pPr>
      <w:r>
        <w:rPr>
          <w:rFonts w:eastAsia="標楷體" w:hint="eastAsia"/>
          <w:b/>
          <w:color w:val="000000" w:themeColor="text1"/>
          <w:sz w:val="28"/>
        </w:rPr>
        <w:t>伍、</w:t>
      </w:r>
      <w:r w:rsidRPr="008066AF">
        <w:rPr>
          <w:rFonts w:eastAsia="標楷體" w:hint="eastAsia"/>
          <w:b/>
          <w:color w:val="000000" w:themeColor="text1"/>
          <w:sz w:val="28"/>
        </w:rPr>
        <w:t>一般共同成本分攤方法明細表</w:t>
      </w:r>
    </w:p>
    <w:p w:rsidR="001474F1" w:rsidRPr="008A1EDD"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8A1EDD">
        <w:rPr>
          <w:rFonts w:eastAsia="標楷體" w:hint="eastAsia"/>
          <w:color w:val="000000" w:themeColor="text1"/>
          <w:sz w:val="28"/>
        </w:rPr>
        <w:t>公用天然氣事業天然氣售價及基本收費計算準則</w:t>
      </w:r>
      <w:r>
        <w:rPr>
          <w:rFonts w:eastAsia="標楷體" w:hint="eastAsia"/>
          <w:color w:val="000000" w:themeColor="text1"/>
          <w:sz w:val="28"/>
        </w:rPr>
        <w:t>》附件四編製。</w:t>
      </w:r>
    </w:p>
    <w:p w:rsidR="001474F1" w:rsidRDefault="001474F1" w:rsidP="001474F1">
      <w:pPr>
        <w:widowControl/>
        <w:spacing w:beforeLines="100" w:before="360" w:afterLines="50" w:after="180" w:line="500" w:lineRule="exact"/>
        <w:ind w:left="561" w:hangingChars="200" w:hanging="561"/>
        <w:jc w:val="both"/>
        <w:rPr>
          <w:rFonts w:eastAsia="標楷體"/>
          <w:b/>
          <w:color w:val="000000" w:themeColor="text1"/>
          <w:sz w:val="28"/>
        </w:rPr>
      </w:pPr>
      <w:r>
        <w:rPr>
          <w:rFonts w:eastAsia="標楷體" w:hint="eastAsia"/>
          <w:b/>
          <w:color w:val="000000" w:themeColor="text1"/>
          <w:sz w:val="28"/>
        </w:rPr>
        <w:t>陸、</w:t>
      </w:r>
      <w:r w:rsidRPr="008066AF">
        <w:rPr>
          <w:rFonts w:eastAsia="標楷體" w:hint="eastAsia"/>
          <w:b/>
          <w:color w:val="000000" w:themeColor="text1"/>
          <w:sz w:val="28"/>
        </w:rPr>
        <w:t>薪資分離明細表</w:t>
      </w:r>
    </w:p>
    <w:p w:rsidR="001474F1" w:rsidRPr="008A1EDD"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8A1EDD">
        <w:rPr>
          <w:rFonts w:eastAsia="標楷體" w:hint="eastAsia"/>
          <w:color w:val="000000" w:themeColor="text1"/>
          <w:sz w:val="28"/>
        </w:rPr>
        <w:t>公用天然氣事業天然氣售價及基本收費計算準則</w:t>
      </w:r>
      <w:r>
        <w:rPr>
          <w:rFonts w:eastAsia="標楷體" w:hint="eastAsia"/>
          <w:color w:val="000000" w:themeColor="text1"/>
          <w:sz w:val="28"/>
        </w:rPr>
        <w:t>》附件五編製。</w:t>
      </w:r>
    </w:p>
    <w:p w:rsidR="001474F1" w:rsidRDefault="001474F1" w:rsidP="001474F1">
      <w:pPr>
        <w:widowControl/>
        <w:spacing w:beforeLines="100" w:before="360" w:afterLines="50" w:after="180" w:line="500" w:lineRule="exact"/>
        <w:ind w:left="561" w:hangingChars="200" w:hanging="561"/>
        <w:jc w:val="both"/>
        <w:rPr>
          <w:rFonts w:eastAsia="標楷體"/>
          <w:b/>
          <w:color w:val="000000" w:themeColor="text1"/>
          <w:sz w:val="28"/>
        </w:rPr>
      </w:pPr>
      <w:proofErr w:type="gramStart"/>
      <w:r>
        <w:rPr>
          <w:rFonts w:eastAsia="標楷體" w:hint="eastAsia"/>
          <w:b/>
          <w:color w:val="000000" w:themeColor="text1"/>
          <w:sz w:val="28"/>
        </w:rPr>
        <w:t>柒</w:t>
      </w:r>
      <w:proofErr w:type="gramEnd"/>
      <w:r>
        <w:rPr>
          <w:rFonts w:eastAsia="標楷體" w:hint="eastAsia"/>
          <w:b/>
          <w:color w:val="000000" w:themeColor="text1"/>
          <w:sz w:val="28"/>
        </w:rPr>
        <w:t>、</w:t>
      </w:r>
      <w:r w:rsidRPr="00DC57F3">
        <w:rPr>
          <w:rFonts w:eastAsia="標楷體" w:hint="eastAsia"/>
          <w:b/>
          <w:color w:val="000000" w:themeColor="text1"/>
          <w:sz w:val="28"/>
        </w:rPr>
        <w:t>最近</w:t>
      </w:r>
      <w:proofErr w:type="gramStart"/>
      <w:r w:rsidRPr="00DC57F3">
        <w:rPr>
          <w:rFonts w:eastAsia="標楷體" w:hint="eastAsia"/>
          <w:b/>
          <w:color w:val="000000" w:themeColor="text1"/>
          <w:sz w:val="28"/>
        </w:rPr>
        <w:t>3</w:t>
      </w:r>
      <w:proofErr w:type="gramEnd"/>
      <w:r w:rsidRPr="00DC57F3">
        <w:rPr>
          <w:rFonts w:eastAsia="標楷體" w:hint="eastAsia"/>
          <w:b/>
          <w:color w:val="000000" w:themeColor="text1"/>
          <w:sz w:val="28"/>
        </w:rPr>
        <w:t>年度經會計師簽證之財務報告書、分離會計報表（包括部門別損益表及部門別資產負債表）</w:t>
      </w:r>
    </w:p>
    <w:p w:rsidR="003A0A67" w:rsidRPr="001474F1" w:rsidRDefault="001474F1" w:rsidP="001474F1">
      <w:pPr>
        <w:widowControl/>
        <w:spacing w:line="500" w:lineRule="exact"/>
        <w:jc w:val="both"/>
        <w:rPr>
          <w:rFonts w:eastAsia="標楷體"/>
          <w:color w:val="000000" w:themeColor="text1"/>
          <w:sz w:val="28"/>
        </w:rPr>
      </w:pPr>
      <w:r>
        <w:rPr>
          <w:rFonts w:eastAsia="標楷體" w:hint="eastAsia"/>
          <w:color w:val="000000" w:themeColor="text1"/>
          <w:sz w:val="28"/>
        </w:rPr>
        <w:t>請參照《</w:t>
      </w:r>
      <w:r w:rsidRPr="006C53F9">
        <w:rPr>
          <w:rFonts w:eastAsia="標楷體" w:hint="eastAsia"/>
          <w:color w:val="000000" w:themeColor="text1"/>
          <w:sz w:val="28"/>
        </w:rPr>
        <w:t>公用天然氣事業會計處理準則</w:t>
      </w:r>
      <w:r>
        <w:rPr>
          <w:rFonts w:eastAsia="標楷體" w:hint="eastAsia"/>
          <w:color w:val="000000" w:themeColor="text1"/>
          <w:sz w:val="28"/>
        </w:rPr>
        <w:t>》編製。</w:t>
      </w:r>
      <w:bookmarkStart w:id="1" w:name="_GoBack"/>
      <w:bookmarkEnd w:id="1"/>
    </w:p>
    <w:sectPr w:rsidR="003A0A67" w:rsidRPr="001474F1" w:rsidSect="001474F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631016562"/>
      <w:docPartObj>
        <w:docPartGallery w:val="Page Numbers (Bottom of Page)"/>
        <w:docPartUnique/>
      </w:docPartObj>
    </w:sdtPr>
    <w:sdtEndPr>
      <w:rPr>
        <w:rStyle w:val="a7"/>
      </w:rPr>
    </w:sdtEndPr>
    <w:sdtContent>
      <w:p w:rsidR="008A1EDD" w:rsidRDefault="001474F1" w:rsidP="00A87C3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45</w:t>
        </w:r>
        <w:r>
          <w:rPr>
            <w:rStyle w:val="a7"/>
          </w:rPr>
          <w:fldChar w:fldCharType="end"/>
        </w:r>
      </w:p>
    </w:sdtContent>
  </w:sdt>
  <w:p w:rsidR="008A1EDD" w:rsidRDefault="001474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D" w:rsidRDefault="001474F1" w:rsidP="00A87C3B">
    <w:pPr>
      <w:pStyle w:val="a5"/>
      <w:framePr w:wrap="none"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rsidR="008A1EDD" w:rsidRDefault="001474F1">
    <w:pPr>
      <w:pStyle w:val="a5"/>
      <w:jc w:val="center"/>
    </w:pPr>
  </w:p>
  <w:p w:rsidR="008A1EDD" w:rsidRDefault="001474F1"/>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4A7"/>
    <w:multiLevelType w:val="hybridMultilevel"/>
    <w:tmpl w:val="51EC6396"/>
    <w:lvl w:ilvl="0" w:tplc="FC668E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1630D4"/>
    <w:multiLevelType w:val="hybridMultilevel"/>
    <w:tmpl w:val="33A80CA6"/>
    <w:lvl w:ilvl="0" w:tplc="1D546716">
      <w:start w:val="1"/>
      <w:numFmt w:val="taiwaneseCountingThousand"/>
      <w:lvlText w:val="%1、"/>
      <w:lvlJc w:val="left"/>
      <w:pPr>
        <w:ind w:left="480" w:hanging="480"/>
      </w:pPr>
      <w:rPr>
        <w:rFonts w:hint="default"/>
        <w:color w:val="000000" w:themeColor="text1"/>
      </w:rPr>
    </w:lvl>
    <w:lvl w:ilvl="1" w:tplc="A1EC5234">
      <w:start w:val="2"/>
      <w:numFmt w:val="taiwaneseCountingThousand"/>
      <w:lvlText w:val="(%2)"/>
      <w:lvlJc w:val="left"/>
      <w:pPr>
        <w:ind w:left="880" w:hanging="4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78563A"/>
    <w:multiLevelType w:val="hybridMultilevel"/>
    <w:tmpl w:val="240E8CAA"/>
    <w:lvl w:ilvl="0" w:tplc="38AA28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B6145E"/>
    <w:multiLevelType w:val="hybridMultilevel"/>
    <w:tmpl w:val="CFA20416"/>
    <w:lvl w:ilvl="0" w:tplc="0409000F">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2041E47"/>
    <w:multiLevelType w:val="hybridMultilevel"/>
    <w:tmpl w:val="14880E8A"/>
    <w:lvl w:ilvl="0" w:tplc="38AA28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23E957D2"/>
    <w:multiLevelType w:val="hybridMultilevel"/>
    <w:tmpl w:val="9710EC2C"/>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7552149"/>
    <w:multiLevelType w:val="hybridMultilevel"/>
    <w:tmpl w:val="9710EC2C"/>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AA10DE8"/>
    <w:multiLevelType w:val="hybridMultilevel"/>
    <w:tmpl w:val="723831E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F812FB9"/>
    <w:multiLevelType w:val="hybridMultilevel"/>
    <w:tmpl w:val="60425D7E"/>
    <w:lvl w:ilvl="0" w:tplc="9156367C">
      <w:start w:val="1"/>
      <w:numFmt w:val="decimal"/>
      <w:lvlText w:val="%1."/>
      <w:lvlJc w:val="left"/>
      <w:pPr>
        <w:ind w:left="360" w:hanging="360"/>
      </w:pPr>
      <w:rPr>
        <w:rFonts w:hint="default"/>
      </w:rPr>
    </w:lvl>
    <w:lvl w:ilvl="1" w:tplc="1FD236E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nsid w:val="329F48D4"/>
    <w:multiLevelType w:val="hybridMultilevel"/>
    <w:tmpl w:val="C0C833FC"/>
    <w:lvl w:ilvl="0" w:tplc="1D546716">
      <w:start w:val="1"/>
      <w:numFmt w:val="taiwaneseCountingThousand"/>
      <w:lvlText w:val="%1、"/>
      <w:lvlJc w:val="left"/>
      <w:pPr>
        <w:ind w:left="480" w:hanging="480"/>
      </w:pPr>
      <w:rPr>
        <w:rFonts w:hint="default"/>
        <w:b/>
        <w:color w:val="000000" w:themeColor="text1"/>
      </w:rPr>
    </w:lvl>
    <w:lvl w:ilvl="1" w:tplc="A1EC5234">
      <w:start w:val="2"/>
      <w:numFmt w:val="taiwaneseCountingThousand"/>
      <w:lvlText w:val="(%2)"/>
      <w:lvlJc w:val="left"/>
      <w:pPr>
        <w:ind w:left="880" w:hanging="4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A82998"/>
    <w:multiLevelType w:val="hybridMultilevel"/>
    <w:tmpl w:val="F29AC71E"/>
    <w:lvl w:ilvl="0" w:tplc="38AA28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43717A60"/>
    <w:multiLevelType w:val="hybridMultilevel"/>
    <w:tmpl w:val="A2CC1BA6"/>
    <w:lvl w:ilvl="0" w:tplc="9156367C">
      <w:start w:val="1"/>
      <w:numFmt w:val="decimal"/>
      <w:lvlText w:val="%1."/>
      <w:lvlJc w:val="left"/>
      <w:pPr>
        <w:ind w:left="360" w:hanging="360"/>
      </w:pPr>
      <w:rPr>
        <w:rFonts w:hint="default"/>
      </w:rPr>
    </w:lvl>
    <w:lvl w:ilvl="1" w:tplc="AA701596">
      <w:start w:val="1"/>
      <w:numFmt w:val="decimal"/>
      <w:lvlText w:val="（%2）"/>
      <w:lvlJc w:val="left"/>
      <w:pPr>
        <w:ind w:left="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nsid w:val="4498417B"/>
    <w:multiLevelType w:val="hybridMultilevel"/>
    <w:tmpl w:val="2FDA3164"/>
    <w:lvl w:ilvl="0" w:tplc="38AA28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A5598D"/>
    <w:multiLevelType w:val="hybridMultilevel"/>
    <w:tmpl w:val="1E3C4CA4"/>
    <w:lvl w:ilvl="0" w:tplc="0409000F">
      <w:start w:val="1"/>
      <w:numFmt w:val="decimal"/>
      <w:lvlText w:val="%1."/>
      <w:lvlJc w:val="left"/>
      <w:pPr>
        <w:ind w:left="480" w:hanging="480"/>
      </w:pPr>
    </w:lvl>
    <w:lvl w:ilvl="1" w:tplc="38AA2822">
      <w:start w:val="1"/>
      <w:numFmt w:val="taiwaneseCountingThousand"/>
      <w:lvlText w:val="（%2）"/>
      <w:lvlJc w:val="left"/>
      <w:pPr>
        <w:ind w:left="0" w:firstLine="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B12EEF"/>
    <w:multiLevelType w:val="hybridMultilevel"/>
    <w:tmpl w:val="FB98C33A"/>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5">
    <w:nsid w:val="53785B66"/>
    <w:multiLevelType w:val="hybridMultilevel"/>
    <w:tmpl w:val="BFB07A46"/>
    <w:lvl w:ilvl="0" w:tplc="FC668E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4B733C1"/>
    <w:multiLevelType w:val="hybridMultilevel"/>
    <w:tmpl w:val="A2CC1BA6"/>
    <w:lvl w:ilvl="0" w:tplc="9156367C">
      <w:start w:val="1"/>
      <w:numFmt w:val="decimal"/>
      <w:lvlText w:val="%1."/>
      <w:lvlJc w:val="left"/>
      <w:pPr>
        <w:ind w:left="360" w:hanging="360"/>
      </w:pPr>
      <w:rPr>
        <w:rFonts w:hint="default"/>
      </w:rPr>
    </w:lvl>
    <w:lvl w:ilvl="1" w:tplc="AA701596">
      <w:start w:val="1"/>
      <w:numFmt w:val="decimal"/>
      <w:lvlText w:val="（%2）"/>
      <w:lvlJc w:val="left"/>
      <w:pPr>
        <w:ind w:left="0" w:firstLine="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nsid w:val="57594C6F"/>
    <w:multiLevelType w:val="hybridMultilevel"/>
    <w:tmpl w:val="5FD4A60E"/>
    <w:lvl w:ilvl="0" w:tplc="38AA2822">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01485A"/>
    <w:multiLevelType w:val="hybridMultilevel"/>
    <w:tmpl w:val="C1C643C2"/>
    <w:lvl w:ilvl="0" w:tplc="FC668E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9547FC5"/>
    <w:multiLevelType w:val="hybridMultilevel"/>
    <w:tmpl w:val="F39EAC52"/>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0245844"/>
    <w:multiLevelType w:val="hybridMultilevel"/>
    <w:tmpl w:val="3BF80440"/>
    <w:lvl w:ilvl="0" w:tplc="C73821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0320F0F"/>
    <w:multiLevelType w:val="hybridMultilevel"/>
    <w:tmpl w:val="C36CA85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803C73"/>
    <w:multiLevelType w:val="hybridMultilevel"/>
    <w:tmpl w:val="60425D7E"/>
    <w:lvl w:ilvl="0" w:tplc="9156367C">
      <w:start w:val="1"/>
      <w:numFmt w:val="decimal"/>
      <w:lvlText w:val="%1."/>
      <w:lvlJc w:val="left"/>
      <w:pPr>
        <w:ind w:left="360" w:hanging="360"/>
      </w:pPr>
      <w:rPr>
        <w:rFonts w:hint="default"/>
      </w:rPr>
    </w:lvl>
    <w:lvl w:ilvl="1" w:tplc="1FD236E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3">
    <w:nsid w:val="74716EA1"/>
    <w:multiLevelType w:val="hybridMultilevel"/>
    <w:tmpl w:val="D6F03B1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760207F5"/>
    <w:multiLevelType w:val="hybridMultilevel"/>
    <w:tmpl w:val="6E3C7426"/>
    <w:lvl w:ilvl="0" w:tplc="FC668E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1003D9"/>
    <w:multiLevelType w:val="hybridMultilevel"/>
    <w:tmpl w:val="8A9E6B10"/>
    <w:lvl w:ilvl="0" w:tplc="0409000F">
      <w:start w:val="1"/>
      <w:numFmt w:val="decimal"/>
      <w:lvlText w:val="%1."/>
      <w:lvlJc w:val="left"/>
      <w:pPr>
        <w:ind w:left="480" w:hanging="480"/>
      </w:pPr>
    </w:lvl>
    <w:lvl w:ilvl="1" w:tplc="FC668E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DF33911"/>
    <w:multiLevelType w:val="hybridMultilevel"/>
    <w:tmpl w:val="D56289FA"/>
    <w:lvl w:ilvl="0" w:tplc="FC668EE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7"/>
  </w:num>
  <w:num w:numId="3">
    <w:abstractNumId w:val="19"/>
  </w:num>
  <w:num w:numId="4">
    <w:abstractNumId w:val="3"/>
  </w:num>
  <w:num w:numId="5">
    <w:abstractNumId w:val="6"/>
  </w:num>
  <w:num w:numId="6">
    <w:abstractNumId w:val="1"/>
  </w:num>
  <w:num w:numId="7">
    <w:abstractNumId w:val="13"/>
  </w:num>
  <w:num w:numId="8">
    <w:abstractNumId w:val="0"/>
  </w:num>
  <w:num w:numId="9">
    <w:abstractNumId w:val="26"/>
  </w:num>
  <w:num w:numId="10">
    <w:abstractNumId w:val="18"/>
  </w:num>
  <w:num w:numId="11">
    <w:abstractNumId w:val="12"/>
  </w:num>
  <w:num w:numId="12">
    <w:abstractNumId w:val="25"/>
  </w:num>
  <w:num w:numId="13">
    <w:abstractNumId w:val="16"/>
  </w:num>
  <w:num w:numId="14">
    <w:abstractNumId w:val="15"/>
  </w:num>
  <w:num w:numId="15">
    <w:abstractNumId w:val="24"/>
  </w:num>
  <w:num w:numId="16">
    <w:abstractNumId w:val="9"/>
  </w:num>
  <w:num w:numId="17">
    <w:abstractNumId w:val="22"/>
  </w:num>
  <w:num w:numId="18">
    <w:abstractNumId w:val="17"/>
  </w:num>
  <w:num w:numId="19">
    <w:abstractNumId w:val="8"/>
  </w:num>
  <w:num w:numId="20">
    <w:abstractNumId w:val="2"/>
  </w:num>
  <w:num w:numId="21">
    <w:abstractNumId w:val="4"/>
  </w:num>
  <w:num w:numId="22">
    <w:abstractNumId w:val="10"/>
  </w:num>
  <w:num w:numId="23">
    <w:abstractNumId w:val="23"/>
  </w:num>
  <w:num w:numId="24">
    <w:abstractNumId w:val="14"/>
  </w:num>
  <w:num w:numId="25">
    <w:abstractNumId w:val="11"/>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F1"/>
    <w:rsid w:val="001474F1"/>
    <w:rsid w:val="003A0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4F1"/>
    <w:pPr>
      <w:ind w:leftChars="200" w:left="480"/>
    </w:pPr>
  </w:style>
  <w:style w:type="table" w:styleId="a4">
    <w:name w:val="Table Grid"/>
    <w:basedOn w:val="a1"/>
    <w:uiPriority w:val="39"/>
    <w:rsid w:val="001474F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474F1"/>
    <w:pPr>
      <w:tabs>
        <w:tab w:val="center" w:pos="4153"/>
        <w:tab w:val="right" w:pos="8306"/>
      </w:tabs>
      <w:snapToGrid w:val="0"/>
    </w:pPr>
    <w:rPr>
      <w:sz w:val="20"/>
      <w:szCs w:val="20"/>
    </w:rPr>
  </w:style>
  <w:style w:type="character" w:customStyle="1" w:styleId="a6">
    <w:name w:val="頁尾 字元"/>
    <w:basedOn w:val="a0"/>
    <w:link w:val="a5"/>
    <w:uiPriority w:val="99"/>
    <w:rsid w:val="001474F1"/>
    <w:rPr>
      <w:rFonts w:ascii="Times New Roman" w:eastAsia="新細明體" w:hAnsi="Times New Roman" w:cs="Times New Roman"/>
      <w:sz w:val="20"/>
      <w:szCs w:val="20"/>
    </w:rPr>
  </w:style>
  <w:style w:type="character" w:styleId="a7">
    <w:name w:val="page number"/>
    <w:uiPriority w:val="99"/>
    <w:semiHidden/>
    <w:rsid w:val="001474F1"/>
    <w:rPr>
      <w:rFonts w:cs="Times New Roman"/>
    </w:rPr>
  </w:style>
  <w:style w:type="paragraph" w:styleId="a8">
    <w:name w:val="caption"/>
    <w:basedOn w:val="a"/>
    <w:next w:val="a"/>
    <w:uiPriority w:val="35"/>
    <w:unhideWhenUsed/>
    <w:qFormat/>
    <w:rsid w:val="001474F1"/>
    <w:rPr>
      <w:rFonts w:asciiTheme="minorHAnsi" w:eastAsiaTheme="minorEastAsia" w:hAnsiTheme="minorHAnsi" w:cstheme="minorBidi"/>
      <w:sz w:val="20"/>
      <w:szCs w:val="20"/>
    </w:rPr>
  </w:style>
  <w:style w:type="paragraph" w:styleId="a9">
    <w:name w:val="Balloon Text"/>
    <w:basedOn w:val="a"/>
    <w:link w:val="aa"/>
    <w:uiPriority w:val="99"/>
    <w:semiHidden/>
    <w:unhideWhenUsed/>
    <w:rsid w:val="001474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74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F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4F1"/>
    <w:pPr>
      <w:ind w:leftChars="200" w:left="480"/>
    </w:pPr>
  </w:style>
  <w:style w:type="table" w:styleId="a4">
    <w:name w:val="Table Grid"/>
    <w:basedOn w:val="a1"/>
    <w:uiPriority w:val="39"/>
    <w:rsid w:val="001474F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474F1"/>
    <w:pPr>
      <w:tabs>
        <w:tab w:val="center" w:pos="4153"/>
        <w:tab w:val="right" w:pos="8306"/>
      </w:tabs>
      <w:snapToGrid w:val="0"/>
    </w:pPr>
    <w:rPr>
      <w:sz w:val="20"/>
      <w:szCs w:val="20"/>
    </w:rPr>
  </w:style>
  <w:style w:type="character" w:customStyle="1" w:styleId="a6">
    <w:name w:val="頁尾 字元"/>
    <w:basedOn w:val="a0"/>
    <w:link w:val="a5"/>
    <w:uiPriority w:val="99"/>
    <w:rsid w:val="001474F1"/>
    <w:rPr>
      <w:rFonts w:ascii="Times New Roman" w:eastAsia="新細明體" w:hAnsi="Times New Roman" w:cs="Times New Roman"/>
      <w:sz w:val="20"/>
      <w:szCs w:val="20"/>
    </w:rPr>
  </w:style>
  <w:style w:type="character" w:styleId="a7">
    <w:name w:val="page number"/>
    <w:uiPriority w:val="99"/>
    <w:semiHidden/>
    <w:rsid w:val="001474F1"/>
    <w:rPr>
      <w:rFonts w:cs="Times New Roman"/>
    </w:rPr>
  </w:style>
  <w:style w:type="paragraph" w:styleId="a8">
    <w:name w:val="caption"/>
    <w:basedOn w:val="a"/>
    <w:next w:val="a"/>
    <w:uiPriority w:val="35"/>
    <w:unhideWhenUsed/>
    <w:qFormat/>
    <w:rsid w:val="001474F1"/>
    <w:rPr>
      <w:rFonts w:asciiTheme="minorHAnsi" w:eastAsiaTheme="minorEastAsia" w:hAnsiTheme="minorHAnsi" w:cstheme="minorBidi"/>
      <w:sz w:val="20"/>
      <w:szCs w:val="20"/>
    </w:rPr>
  </w:style>
  <w:style w:type="paragraph" w:styleId="a9">
    <w:name w:val="Balloon Text"/>
    <w:basedOn w:val="a"/>
    <w:link w:val="aa"/>
    <w:uiPriority w:val="99"/>
    <w:semiHidden/>
    <w:unhideWhenUsed/>
    <w:rsid w:val="001474F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74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CC74AA-EAFA-4BB6-A4DF-8BFFEBF106A8}"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zh-TW" altLang="en-US"/>
        </a:p>
      </dgm:t>
    </dgm:pt>
    <dgm:pt modelId="{7B12C93E-535C-40B4-8090-4489B7CEB21D}">
      <dgm:prSet phldrT="[文字]" custT="1"/>
      <dgm:spPr/>
      <dgm:t>
        <a:bodyPr/>
        <a:lstStyle/>
        <a:p>
          <a:r>
            <a:rPr lang="zh-TW" altLang="en-US" sz="28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標楷體" panose="03000509000000000000" pitchFamily="65" charset="-120"/>
              <a:ea typeface="標楷體" panose="03000509000000000000" pitchFamily="65" charset="-120"/>
            </a:rPr>
            <a:t>九、公用天然氣事業</a:t>
          </a:r>
        </a:p>
        <a:p>
          <a:r>
            <a:rPr lang="zh-TW" altLang="en-US" sz="2800" b="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標楷體" panose="03000509000000000000" pitchFamily="65" charset="-120"/>
              <a:ea typeface="標楷體" panose="03000509000000000000" pitchFamily="65" charset="-120"/>
            </a:rPr>
            <a:t>天然氣售價及基本收費之核定</a:t>
          </a:r>
        </a:p>
      </dgm:t>
    </dgm:pt>
    <dgm:pt modelId="{A6172FB2-9BE1-4657-B95F-C352AA2BFBB4}" type="parTrans" cxnId="{E976B828-BB2E-4259-B599-DF577F1EC741}">
      <dgm:prSet/>
      <dgm:spPr/>
      <dgm:t>
        <a:bodyPr/>
        <a:lstStyle/>
        <a:p>
          <a:endParaRPr lang="zh-TW" altLang="en-US"/>
        </a:p>
      </dgm:t>
    </dgm:pt>
    <dgm:pt modelId="{71A6217B-DD58-4EFF-8C49-48761D67E305}" type="sibTrans" cxnId="{E976B828-BB2E-4259-B599-DF577F1EC741}">
      <dgm:prSet/>
      <dgm:spPr/>
      <dgm:t>
        <a:bodyPr/>
        <a:lstStyle/>
        <a:p>
          <a:endParaRPr lang="zh-TW" altLang="en-US"/>
        </a:p>
      </dgm:t>
    </dgm:pt>
    <dgm:pt modelId="{D394582D-DD5C-4367-ACE6-2B2767884584}" type="pres">
      <dgm:prSet presAssocID="{FCCC74AA-EAFA-4BB6-A4DF-8BFFEBF106A8}" presName="diagram" presStyleCnt="0">
        <dgm:presLayoutVars>
          <dgm:chPref val="1"/>
          <dgm:dir/>
          <dgm:animOne val="branch"/>
          <dgm:animLvl val="lvl"/>
          <dgm:resizeHandles/>
        </dgm:presLayoutVars>
      </dgm:prSet>
      <dgm:spPr/>
      <dgm:t>
        <a:bodyPr/>
        <a:lstStyle/>
        <a:p>
          <a:endParaRPr lang="zh-TW" altLang="en-US"/>
        </a:p>
      </dgm:t>
    </dgm:pt>
    <dgm:pt modelId="{F7C194AD-E8FF-44AF-B6BA-9274FB1538BE}" type="pres">
      <dgm:prSet presAssocID="{7B12C93E-535C-40B4-8090-4489B7CEB21D}" presName="root" presStyleCnt="0"/>
      <dgm:spPr/>
    </dgm:pt>
    <dgm:pt modelId="{FFEEFDCB-361E-426E-A4DD-A6C53B0C493E}" type="pres">
      <dgm:prSet presAssocID="{7B12C93E-535C-40B4-8090-4489B7CEB21D}" presName="rootComposite" presStyleCnt="0"/>
      <dgm:spPr/>
    </dgm:pt>
    <dgm:pt modelId="{D27EAEE9-C1F6-436F-B2E7-83EE3B290704}" type="pres">
      <dgm:prSet presAssocID="{7B12C93E-535C-40B4-8090-4489B7CEB21D}" presName="rootText" presStyleLbl="node1" presStyleIdx="0" presStyleCnt="1" custScaleY="47189"/>
      <dgm:spPr/>
      <dgm:t>
        <a:bodyPr/>
        <a:lstStyle/>
        <a:p>
          <a:endParaRPr lang="zh-TW" altLang="en-US"/>
        </a:p>
      </dgm:t>
    </dgm:pt>
    <dgm:pt modelId="{A8688A25-7677-412F-AE36-5AA5A36BB8C4}" type="pres">
      <dgm:prSet presAssocID="{7B12C93E-535C-40B4-8090-4489B7CEB21D}" presName="rootConnector" presStyleLbl="node1" presStyleIdx="0" presStyleCnt="1"/>
      <dgm:spPr/>
      <dgm:t>
        <a:bodyPr/>
        <a:lstStyle/>
        <a:p>
          <a:endParaRPr lang="zh-TW" altLang="en-US"/>
        </a:p>
      </dgm:t>
    </dgm:pt>
    <dgm:pt modelId="{F828B7EE-7EEB-4196-93C8-2E6690B27390}" type="pres">
      <dgm:prSet presAssocID="{7B12C93E-535C-40B4-8090-4489B7CEB21D}" presName="childShape" presStyleCnt="0"/>
      <dgm:spPr/>
    </dgm:pt>
  </dgm:ptLst>
  <dgm:cxnLst>
    <dgm:cxn modelId="{542F5F43-861D-4493-BBA4-C702BD786377}" type="presOf" srcId="{7B12C93E-535C-40B4-8090-4489B7CEB21D}" destId="{A8688A25-7677-412F-AE36-5AA5A36BB8C4}" srcOrd="1" destOrd="0" presId="urn:microsoft.com/office/officeart/2005/8/layout/hierarchy3"/>
    <dgm:cxn modelId="{4AA42452-8B58-4DAB-8B53-37FBFB1F30B6}" type="presOf" srcId="{FCCC74AA-EAFA-4BB6-A4DF-8BFFEBF106A8}" destId="{D394582D-DD5C-4367-ACE6-2B2767884584}" srcOrd="0" destOrd="0" presId="urn:microsoft.com/office/officeart/2005/8/layout/hierarchy3"/>
    <dgm:cxn modelId="{E976B828-BB2E-4259-B599-DF577F1EC741}" srcId="{FCCC74AA-EAFA-4BB6-A4DF-8BFFEBF106A8}" destId="{7B12C93E-535C-40B4-8090-4489B7CEB21D}" srcOrd="0" destOrd="0" parTransId="{A6172FB2-9BE1-4657-B95F-C352AA2BFBB4}" sibTransId="{71A6217B-DD58-4EFF-8C49-48761D67E305}"/>
    <dgm:cxn modelId="{A1DE9F3C-A9A7-40B7-B9CB-EC578E4FC873}" type="presOf" srcId="{7B12C93E-535C-40B4-8090-4489B7CEB21D}" destId="{D27EAEE9-C1F6-436F-B2E7-83EE3B290704}" srcOrd="0" destOrd="0" presId="urn:microsoft.com/office/officeart/2005/8/layout/hierarchy3"/>
    <dgm:cxn modelId="{AE9A58DA-9806-406C-A520-D798FCA1F4B8}" type="presParOf" srcId="{D394582D-DD5C-4367-ACE6-2B2767884584}" destId="{F7C194AD-E8FF-44AF-B6BA-9274FB1538BE}" srcOrd="0" destOrd="0" presId="urn:microsoft.com/office/officeart/2005/8/layout/hierarchy3"/>
    <dgm:cxn modelId="{31FEDA02-78DB-4859-8140-D33E76EF495A}" type="presParOf" srcId="{F7C194AD-E8FF-44AF-B6BA-9274FB1538BE}" destId="{FFEEFDCB-361E-426E-A4DD-A6C53B0C493E}" srcOrd="0" destOrd="0" presId="urn:microsoft.com/office/officeart/2005/8/layout/hierarchy3"/>
    <dgm:cxn modelId="{AF293302-5B37-414A-ABA9-7F7E460D3E90}" type="presParOf" srcId="{FFEEFDCB-361E-426E-A4DD-A6C53B0C493E}" destId="{D27EAEE9-C1F6-436F-B2E7-83EE3B290704}" srcOrd="0" destOrd="0" presId="urn:microsoft.com/office/officeart/2005/8/layout/hierarchy3"/>
    <dgm:cxn modelId="{81539355-4C82-40C9-8163-CABA12ECBA9F}" type="presParOf" srcId="{FFEEFDCB-361E-426E-A4DD-A6C53B0C493E}" destId="{A8688A25-7677-412F-AE36-5AA5A36BB8C4}" srcOrd="1" destOrd="0" presId="urn:microsoft.com/office/officeart/2005/8/layout/hierarchy3"/>
    <dgm:cxn modelId="{C72FC684-D202-4B74-BAFD-7A1F3734E448}" type="presParOf" srcId="{F7C194AD-E8FF-44AF-B6BA-9274FB1538BE}" destId="{F828B7EE-7EEB-4196-93C8-2E6690B27390}" srcOrd="1" destOrd="0" presId="urn:microsoft.com/office/officeart/2005/8/layout/hierarchy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7EAEE9-C1F6-436F-B2E7-83EE3B290704}">
      <dsp:nvSpPr>
        <dsp:cNvPr id="0" name=""/>
        <dsp:cNvSpPr/>
      </dsp:nvSpPr>
      <dsp:spPr>
        <a:xfrm>
          <a:off x="0" y="3364895"/>
          <a:ext cx="6103619" cy="14401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35560" rIns="53340" bIns="35560" numCol="1" spcCol="1270" anchor="ctr" anchorCtr="0">
          <a:noAutofit/>
        </a:bodyPr>
        <a:lstStyle/>
        <a:p>
          <a:pPr lvl="0" algn="ctr" defTabSz="1244600">
            <a:lnSpc>
              <a:spcPct val="90000"/>
            </a:lnSpc>
            <a:spcBef>
              <a:spcPct val="0"/>
            </a:spcBef>
            <a:spcAft>
              <a:spcPct val="35000"/>
            </a:spcAft>
          </a:pPr>
          <a:r>
            <a:rPr lang="zh-TW" altLang="en-US" sz="28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標楷體" panose="03000509000000000000" pitchFamily="65" charset="-120"/>
              <a:ea typeface="標楷體" panose="03000509000000000000" pitchFamily="65" charset="-120"/>
            </a:rPr>
            <a:t>九、公用天然氣事業</a:t>
          </a:r>
        </a:p>
        <a:p>
          <a:pPr lvl="0" algn="ctr" defTabSz="1244600">
            <a:lnSpc>
              <a:spcPct val="90000"/>
            </a:lnSpc>
            <a:spcBef>
              <a:spcPct val="0"/>
            </a:spcBef>
            <a:spcAft>
              <a:spcPct val="35000"/>
            </a:spcAft>
          </a:pPr>
          <a:r>
            <a:rPr lang="zh-TW" altLang="en-US" sz="2800" b="0" kern="1200" cap="none" spc="0">
              <a:ln w="9207" cmpd="sng">
                <a:solidFill>
                  <a:srgbClr val="FFFFFF"/>
                </a:solidFill>
                <a:prstDash val="solid"/>
              </a:ln>
              <a:solidFill>
                <a:srgbClr val="FFFFFF"/>
              </a:solidFill>
              <a:effectLst>
                <a:outerShdw blurRad="63500" dir="3600000" algn="tl" rotWithShape="0">
                  <a:srgbClr val="000000">
                    <a:alpha val="70000"/>
                  </a:srgbClr>
                </a:outerShdw>
              </a:effectLst>
              <a:latin typeface="標楷體" panose="03000509000000000000" pitchFamily="65" charset="-120"/>
              <a:ea typeface="標楷體" panose="03000509000000000000" pitchFamily="65" charset="-120"/>
            </a:rPr>
            <a:t>天然氣售價及基本收費之核定</a:t>
          </a:r>
        </a:p>
      </dsp:txBody>
      <dsp:txXfrm>
        <a:off x="42180" y="3407075"/>
        <a:ext cx="6019259" cy="13557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546</Words>
  <Characters>3116</Characters>
  <Application>Microsoft Office Word</Application>
  <DocSecurity>0</DocSecurity>
  <Lines>25</Lines>
  <Paragraphs>7</Paragraphs>
  <ScaleCrop>false</ScaleCrop>
  <Company>MOEABOE</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boe</cp:lastModifiedBy>
  <cp:revision>1</cp:revision>
  <dcterms:created xsi:type="dcterms:W3CDTF">2019-10-31T03:55:00Z</dcterms:created>
  <dcterms:modified xsi:type="dcterms:W3CDTF">2019-10-31T03:56:00Z</dcterms:modified>
</cp:coreProperties>
</file>