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BC8" w:rsidRPr="00835668" w:rsidRDefault="00E52BC8" w:rsidP="00E52BC8">
      <w:pPr>
        <w:widowControl/>
        <w:rPr>
          <w:b/>
        </w:rPr>
        <w:sectPr w:rsidR="00E52BC8" w:rsidRPr="00835668" w:rsidSect="00A45252">
          <w:footerReference w:type="even" r:id="rId6"/>
          <w:footerReference w:type="default" r:id="rId7"/>
          <w:pgSz w:w="11906" w:h="16838"/>
          <w:pgMar w:top="1440" w:right="1800" w:bottom="1440" w:left="1800" w:header="851" w:footer="992" w:gutter="0"/>
          <w:cols w:space="425"/>
          <w:docGrid w:type="linesAndChars" w:linePitch="360"/>
        </w:sectPr>
      </w:pPr>
      <w:bookmarkStart w:id="0" w:name="_Toc341363077"/>
      <w:r w:rsidRPr="00835668">
        <w:rPr>
          <w:b/>
          <w:noProof/>
          <w:sz w:val="36"/>
          <w:szCs w:val="36"/>
          <w:u w:val="single"/>
        </w:rPr>
        <mc:AlternateContent>
          <mc:Choice Requires="wps">
            <w:drawing>
              <wp:anchor distT="0" distB="0" distL="114300" distR="114300" simplePos="0" relativeHeight="251659264" behindDoc="0" locked="0" layoutInCell="1" allowOverlap="1" wp14:anchorId="06B46875" wp14:editId="5217FA8A">
                <wp:simplePos x="0" y="0"/>
                <wp:positionH relativeFrom="margin">
                  <wp:align>center</wp:align>
                </wp:positionH>
                <wp:positionV relativeFrom="margin">
                  <wp:align>center</wp:align>
                </wp:positionV>
                <wp:extent cx="5975350" cy="1806575"/>
                <wp:effectExtent l="0" t="0" r="6350" b="3175"/>
                <wp:wrapSquare wrapText="bothSides"/>
                <wp:docPr id="683" name="圓角矩形 683"/>
                <wp:cNvGraphicFramePr/>
                <a:graphic xmlns:a="http://schemas.openxmlformats.org/drawingml/2006/main">
                  <a:graphicData uri="http://schemas.microsoft.com/office/word/2010/wordprocessingShape">
                    <wps:wsp>
                      <wps:cNvSpPr/>
                      <wps:spPr>
                        <a:xfrm>
                          <a:off x="0" y="0"/>
                          <a:ext cx="5975350" cy="1806575"/>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52BC8" w:rsidRPr="00F92CC3" w:rsidRDefault="00E52BC8" w:rsidP="00E52BC8">
                            <w:pPr>
                              <w:pStyle w:val="SOP"/>
                              <w:rPr>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F316D3">
                              <w:rPr>
                                <w:rFonts w:hint="eastAsia"/>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十、公用天然氣事業提報裝置業務收費作業手冊之核定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圓角矩形 683" o:spid="_x0000_s1026" style="position:absolute;margin-left:0;margin-top:0;width:470.5pt;height:142.25pt;z-index:25165926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" fillcolor="#4f81bd [3204]" stroked="f" strokeweight="2pt">
                <v:textbox>
                  <w:txbxContent>
                    <w:p w:rsidR="00E52BC8" w:rsidRPr="00F92CC3" w:rsidRDefault="00E52BC8" w:rsidP="00E52BC8">
                      <w:pPr>
                        <w:pStyle w:val="SOP"/>
                        <w:rPr>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F316D3">
                        <w:rPr>
                          <w:rFonts w:hint="eastAsia"/>
                          <w:b w:val="0"/>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十、公用天然氣事業提報裝置業務收費作業手冊之核定</w:t>
                      </w:r>
                    </w:p>
                  </w:txbxContent>
                </v:textbox>
                <w10:wrap type="square" anchorx="margin" anchory="margin"/>
              </v:roundrect>
            </w:pict>
          </mc:Fallback>
        </mc:AlternateContent>
      </w:r>
    </w:p>
    <w:bookmarkEnd w:id="0"/>
    <w:p w:rsidR="00E52BC8" w:rsidRPr="00835668" w:rsidRDefault="00E52BC8" w:rsidP="00E52BC8">
      <w:pPr>
        <w:spacing w:line="520" w:lineRule="exact"/>
        <w:rPr>
          <w:rFonts w:eastAsia="標楷體"/>
          <w:b/>
          <w:sz w:val="32"/>
          <w:szCs w:val="32"/>
        </w:rPr>
      </w:pPr>
      <w:r w:rsidRPr="00835668">
        <w:rPr>
          <w:rFonts w:eastAsia="標楷體"/>
          <w:b/>
          <w:sz w:val="32"/>
          <w:szCs w:val="32"/>
        </w:rPr>
        <w:lastRenderedPageBreak/>
        <w:t>公用天然氣事業提報裝置</w:t>
      </w:r>
      <w:r w:rsidRPr="00835668">
        <w:rPr>
          <w:rFonts w:eastAsia="標楷體" w:hint="eastAsia"/>
          <w:b/>
          <w:sz w:val="32"/>
          <w:szCs w:val="32"/>
        </w:rPr>
        <w:t>收</w:t>
      </w:r>
      <w:r w:rsidRPr="00835668">
        <w:rPr>
          <w:rFonts w:eastAsia="標楷體"/>
          <w:b/>
          <w:sz w:val="32"/>
          <w:szCs w:val="32"/>
        </w:rPr>
        <w:t>費手冊之審查</w:t>
      </w:r>
      <w:r w:rsidRPr="00835668">
        <w:rPr>
          <w:rFonts w:eastAsia="標楷體" w:hint="eastAsia"/>
          <w:b/>
          <w:sz w:val="32"/>
          <w:szCs w:val="32"/>
        </w:rPr>
        <w:t>作業</w:t>
      </w:r>
      <w:r w:rsidRPr="00835668">
        <w:rPr>
          <w:rFonts w:eastAsia="標楷體"/>
          <w:b/>
          <w:sz w:val="32"/>
          <w:szCs w:val="32"/>
        </w:rPr>
        <w:t>程序</w:t>
      </w:r>
    </w:p>
    <w:p w:rsidR="00E52BC8" w:rsidRPr="00835668" w:rsidRDefault="00E52BC8" w:rsidP="00E52BC8">
      <w:pPr>
        <w:tabs>
          <w:tab w:val="left" w:pos="180"/>
        </w:tabs>
        <w:spacing w:beforeLines="100" w:before="360" w:line="480" w:lineRule="exact"/>
        <w:ind w:left="561" w:hangingChars="200" w:hanging="561"/>
        <w:rPr>
          <w:rFonts w:eastAsia="標楷體"/>
          <w:b/>
          <w:sz w:val="28"/>
          <w:szCs w:val="28"/>
        </w:rPr>
      </w:pPr>
      <w:r w:rsidRPr="00835668">
        <w:rPr>
          <w:rFonts w:eastAsia="標楷體"/>
          <w:b/>
          <w:sz w:val="28"/>
          <w:szCs w:val="28"/>
        </w:rPr>
        <w:t>（一）法源依據：</w:t>
      </w:r>
    </w:p>
    <w:p w:rsidR="00E52BC8" w:rsidRPr="00835668" w:rsidRDefault="00E52BC8" w:rsidP="00E52BC8">
      <w:pPr>
        <w:tabs>
          <w:tab w:val="left" w:pos="993"/>
        </w:tabs>
        <w:spacing w:beforeLines="50" w:before="180" w:line="440" w:lineRule="exact"/>
        <w:rPr>
          <w:rFonts w:eastAsia="標楷體"/>
          <w:sz w:val="28"/>
          <w:szCs w:val="28"/>
        </w:rPr>
      </w:pPr>
      <w:r w:rsidRPr="00835668">
        <w:rPr>
          <w:rFonts w:eastAsia="標楷體"/>
          <w:sz w:val="28"/>
          <w:szCs w:val="28"/>
        </w:rPr>
        <w:t>「天然氣事業法」第</w:t>
      </w:r>
      <w:r w:rsidRPr="00835668">
        <w:rPr>
          <w:rFonts w:eastAsia="標楷體" w:hint="eastAsia"/>
          <w:sz w:val="28"/>
          <w:szCs w:val="28"/>
        </w:rPr>
        <w:t>三十五</w:t>
      </w:r>
      <w:r w:rsidRPr="00835668">
        <w:rPr>
          <w:rFonts w:eastAsia="標楷體"/>
          <w:sz w:val="28"/>
          <w:szCs w:val="28"/>
        </w:rPr>
        <w:t>條第</w:t>
      </w:r>
      <w:r w:rsidRPr="00835668">
        <w:rPr>
          <w:rFonts w:eastAsia="標楷體" w:hint="eastAsia"/>
          <w:sz w:val="28"/>
          <w:szCs w:val="28"/>
        </w:rPr>
        <w:t>一</w:t>
      </w:r>
      <w:r w:rsidRPr="00835668">
        <w:rPr>
          <w:rFonts w:eastAsia="標楷體"/>
          <w:sz w:val="28"/>
          <w:szCs w:val="28"/>
        </w:rPr>
        <w:t>項：</w:t>
      </w:r>
    </w:p>
    <w:p w:rsidR="00E52BC8" w:rsidRPr="00835668" w:rsidRDefault="00E52BC8" w:rsidP="00E52BC8">
      <w:pPr>
        <w:tabs>
          <w:tab w:val="left" w:pos="993"/>
        </w:tabs>
        <w:spacing w:beforeLines="50" w:before="180" w:line="440" w:lineRule="exact"/>
        <w:ind w:leftChars="177" w:left="425"/>
        <w:rPr>
          <w:rFonts w:eastAsia="標楷體"/>
          <w:sz w:val="28"/>
          <w:szCs w:val="28"/>
        </w:rPr>
      </w:pPr>
      <w:r w:rsidRPr="00835668">
        <w:rPr>
          <w:rFonts w:eastAsia="標楷體"/>
          <w:sz w:val="28"/>
          <w:szCs w:val="28"/>
        </w:rPr>
        <w:t>公用天然氣事業為家庭、商業及服務業用戶裝置使用天然氣之管線設備，得向用戶收取費用；其收費應依計費準則之規定，報經直轄市、縣（市）主管機關轉請中央主管機關核定。</w:t>
      </w:r>
    </w:p>
    <w:p w:rsidR="00E52BC8" w:rsidRPr="00835668" w:rsidRDefault="00E52BC8" w:rsidP="00E52BC8">
      <w:pPr>
        <w:tabs>
          <w:tab w:val="left" w:pos="993"/>
        </w:tabs>
        <w:spacing w:beforeLines="50" w:before="180" w:line="440" w:lineRule="exact"/>
        <w:rPr>
          <w:rFonts w:eastAsia="標楷體"/>
          <w:sz w:val="28"/>
          <w:szCs w:val="28"/>
        </w:rPr>
      </w:pPr>
      <w:r w:rsidRPr="00835668">
        <w:rPr>
          <w:rFonts w:eastAsia="標楷體"/>
          <w:sz w:val="28"/>
          <w:szCs w:val="28"/>
        </w:rPr>
        <w:t>「公用天然氣事業用戶管線設備裝置計費準則」第</w:t>
      </w:r>
      <w:r w:rsidRPr="00835668">
        <w:rPr>
          <w:rFonts w:eastAsia="標楷體" w:hint="eastAsia"/>
          <w:sz w:val="28"/>
          <w:szCs w:val="28"/>
        </w:rPr>
        <w:t>五</w:t>
      </w:r>
      <w:r w:rsidRPr="00835668">
        <w:rPr>
          <w:rFonts w:eastAsia="標楷體"/>
          <w:sz w:val="28"/>
          <w:szCs w:val="28"/>
        </w:rPr>
        <w:t>條：</w:t>
      </w:r>
    </w:p>
    <w:p w:rsidR="00E52BC8" w:rsidRPr="00835668" w:rsidRDefault="00E52BC8" w:rsidP="00E52BC8">
      <w:pPr>
        <w:tabs>
          <w:tab w:val="left" w:pos="993"/>
        </w:tabs>
        <w:spacing w:beforeLines="50" w:before="180" w:line="440" w:lineRule="exact"/>
        <w:ind w:leftChars="177" w:left="425"/>
        <w:rPr>
          <w:rFonts w:eastAsia="標楷體"/>
          <w:sz w:val="28"/>
          <w:szCs w:val="28"/>
        </w:rPr>
      </w:pPr>
      <w:r w:rsidRPr="00835668">
        <w:rPr>
          <w:rFonts w:eastAsia="標楷體" w:hint="eastAsia"/>
          <w:sz w:val="28"/>
          <w:szCs w:val="28"/>
        </w:rPr>
        <w:t>事業應訂定裝置業務收費作業手冊（以下稱手冊），報經直轄市、縣（市）主管機關轉請中央主管機關核定後實施。</w:t>
      </w:r>
    </w:p>
    <w:p w:rsidR="00E52BC8" w:rsidRPr="00835668" w:rsidRDefault="00E52BC8" w:rsidP="00E52BC8">
      <w:pPr>
        <w:tabs>
          <w:tab w:val="left" w:pos="993"/>
        </w:tabs>
        <w:spacing w:beforeLines="50" w:before="180" w:afterLines="50" w:after="180" w:line="440" w:lineRule="exact"/>
        <w:ind w:leftChars="177" w:left="425"/>
        <w:rPr>
          <w:rFonts w:eastAsia="標楷體"/>
          <w:sz w:val="28"/>
          <w:szCs w:val="28"/>
        </w:rPr>
      </w:pPr>
      <w:r w:rsidRPr="00835668">
        <w:rPr>
          <w:rFonts w:eastAsia="標楷體" w:hint="eastAsia"/>
          <w:sz w:val="28"/>
          <w:szCs w:val="28"/>
        </w:rPr>
        <w:t>前項手冊應記載事項如下：</w:t>
      </w:r>
    </w:p>
    <w:p w:rsidR="00E52BC8" w:rsidRPr="00835668" w:rsidRDefault="00E52BC8" w:rsidP="00E52BC8">
      <w:pPr>
        <w:tabs>
          <w:tab w:val="left" w:pos="993"/>
        </w:tabs>
        <w:spacing w:line="440" w:lineRule="exact"/>
        <w:ind w:leftChars="177" w:left="425"/>
        <w:rPr>
          <w:rFonts w:eastAsia="標楷體"/>
          <w:sz w:val="28"/>
          <w:szCs w:val="28"/>
        </w:rPr>
      </w:pPr>
      <w:r w:rsidRPr="00835668">
        <w:rPr>
          <w:rFonts w:eastAsia="標楷體" w:hint="eastAsia"/>
          <w:sz w:val="28"/>
          <w:szCs w:val="28"/>
        </w:rPr>
        <w:t>一、裝置業務計費項目及計算方式。</w:t>
      </w:r>
    </w:p>
    <w:p w:rsidR="00E52BC8" w:rsidRPr="00835668" w:rsidRDefault="00E52BC8" w:rsidP="00E52BC8">
      <w:pPr>
        <w:tabs>
          <w:tab w:val="left" w:pos="993"/>
        </w:tabs>
        <w:spacing w:line="440" w:lineRule="exact"/>
        <w:ind w:leftChars="177" w:left="425"/>
        <w:rPr>
          <w:rFonts w:eastAsia="標楷體"/>
          <w:sz w:val="28"/>
          <w:szCs w:val="28"/>
        </w:rPr>
      </w:pPr>
      <w:r w:rsidRPr="00835668">
        <w:rPr>
          <w:rFonts w:eastAsia="標楷體" w:hint="eastAsia"/>
          <w:sz w:val="28"/>
          <w:szCs w:val="28"/>
        </w:rPr>
        <w:t>二、向用戶計費之報價表單格式。</w:t>
      </w:r>
    </w:p>
    <w:p w:rsidR="00E52BC8" w:rsidRPr="00835668" w:rsidRDefault="00E52BC8" w:rsidP="00E52BC8">
      <w:pPr>
        <w:tabs>
          <w:tab w:val="left" w:pos="993"/>
        </w:tabs>
        <w:spacing w:line="440" w:lineRule="exact"/>
        <w:ind w:leftChars="177" w:left="425"/>
        <w:rPr>
          <w:rFonts w:eastAsia="標楷體"/>
          <w:sz w:val="28"/>
          <w:szCs w:val="28"/>
        </w:rPr>
      </w:pPr>
      <w:r w:rsidRPr="00835668">
        <w:rPr>
          <w:rFonts w:eastAsia="標楷體" w:hint="eastAsia"/>
          <w:sz w:val="28"/>
          <w:szCs w:val="28"/>
        </w:rPr>
        <w:t>三、裝置業務計費與成本調節表。</w:t>
      </w:r>
    </w:p>
    <w:p w:rsidR="00E52BC8" w:rsidRPr="00835668" w:rsidRDefault="00E52BC8" w:rsidP="00E52BC8">
      <w:pPr>
        <w:tabs>
          <w:tab w:val="left" w:pos="993"/>
        </w:tabs>
        <w:spacing w:line="440" w:lineRule="exact"/>
        <w:ind w:leftChars="177" w:left="425"/>
        <w:rPr>
          <w:rFonts w:eastAsia="標楷體"/>
          <w:sz w:val="28"/>
          <w:szCs w:val="28"/>
        </w:rPr>
      </w:pPr>
      <w:r w:rsidRPr="00835668">
        <w:rPr>
          <w:rFonts w:eastAsia="標楷體" w:hint="eastAsia"/>
          <w:sz w:val="28"/>
          <w:szCs w:val="28"/>
        </w:rPr>
        <w:t>四、其他具體之執行方法。</w:t>
      </w:r>
    </w:p>
    <w:p w:rsidR="00E52BC8" w:rsidRPr="00835668" w:rsidRDefault="00E52BC8" w:rsidP="00E52BC8">
      <w:pPr>
        <w:tabs>
          <w:tab w:val="left" w:pos="993"/>
        </w:tabs>
        <w:spacing w:beforeLines="50" w:before="180" w:line="440" w:lineRule="exact"/>
        <w:ind w:leftChars="177" w:left="425"/>
        <w:rPr>
          <w:rFonts w:eastAsia="標楷體"/>
          <w:sz w:val="28"/>
          <w:szCs w:val="28"/>
        </w:rPr>
      </w:pPr>
      <w:r w:rsidRPr="00835668">
        <w:rPr>
          <w:rFonts w:eastAsia="標楷體" w:hint="eastAsia"/>
          <w:sz w:val="28"/>
          <w:szCs w:val="28"/>
        </w:rPr>
        <w:t>事業應公告其裝置業務計費項目之主要材料、工資及其他費用金額。</w:t>
      </w:r>
    </w:p>
    <w:p w:rsidR="00E52BC8" w:rsidRPr="00835668" w:rsidRDefault="00E52BC8" w:rsidP="00E52BC8">
      <w:pPr>
        <w:tabs>
          <w:tab w:val="left" w:pos="993"/>
        </w:tabs>
        <w:spacing w:beforeLines="50" w:before="180" w:line="440" w:lineRule="exact"/>
        <w:ind w:leftChars="177" w:left="425"/>
        <w:rPr>
          <w:rFonts w:eastAsia="標楷體"/>
          <w:sz w:val="28"/>
          <w:szCs w:val="28"/>
        </w:rPr>
      </w:pPr>
      <w:r w:rsidRPr="00835668">
        <w:rPr>
          <w:rFonts w:eastAsia="標楷體" w:hint="eastAsia"/>
          <w:sz w:val="28"/>
          <w:szCs w:val="28"/>
        </w:rPr>
        <w:t>事業之組織、業務及營運事項遇有變更，而有修正手冊之必要者，應報經直轄市、縣（市）主管機關轉請中央主管機關核定後實施。</w:t>
      </w:r>
    </w:p>
    <w:p w:rsidR="00E52BC8" w:rsidRPr="00835668" w:rsidRDefault="00E52BC8" w:rsidP="00E52BC8">
      <w:pPr>
        <w:tabs>
          <w:tab w:val="left" w:pos="993"/>
        </w:tabs>
        <w:spacing w:beforeLines="50" w:before="180" w:afterLines="50" w:after="180" w:line="440" w:lineRule="exact"/>
        <w:ind w:leftChars="177" w:left="425"/>
        <w:rPr>
          <w:rFonts w:eastAsia="標楷體"/>
          <w:sz w:val="28"/>
          <w:szCs w:val="28"/>
        </w:rPr>
      </w:pPr>
      <w:r w:rsidRPr="00835668">
        <w:rPr>
          <w:rFonts w:eastAsia="標楷體" w:hint="eastAsia"/>
          <w:sz w:val="28"/>
          <w:szCs w:val="28"/>
        </w:rPr>
        <w:t>中央主管機關必要時得要求事業修正手冊及提供各計費項目之相關證明資料。</w:t>
      </w:r>
      <w:r w:rsidRPr="00835668">
        <w:rPr>
          <w:rFonts w:eastAsia="標楷體"/>
          <w:b/>
          <w:sz w:val="28"/>
          <w:szCs w:val="28"/>
        </w:rPr>
        <w:br w:type="page"/>
      </w:r>
      <w:r w:rsidRPr="00835668">
        <w:rPr>
          <w:rFonts w:eastAsia="標楷體"/>
          <w:b/>
          <w:sz w:val="28"/>
          <w:szCs w:val="28"/>
        </w:rPr>
        <w:lastRenderedPageBreak/>
        <w:t>（二）審查</w:t>
      </w:r>
      <w:r w:rsidRPr="00835668">
        <w:rPr>
          <w:rFonts w:eastAsia="標楷體" w:hint="eastAsia"/>
          <w:b/>
          <w:sz w:val="28"/>
          <w:szCs w:val="28"/>
        </w:rPr>
        <w:t>方式</w:t>
      </w:r>
      <w:r w:rsidRPr="00835668">
        <w:rPr>
          <w:rFonts w:eastAsia="標楷體"/>
          <w:b/>
          <w:sz w:val="28"/>
          <w:szCs w:val="28"/>
        </w:rPr>
        <w:t>：</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7130"/>
      </w:tblGrid>
      <w:tr w:rsidR="00E52BC8" w:rsidRPr="00835668" w:rsidTr="00147E36">
        <w:trPr>
          <w:trHeight w:val="368"/>
        </w:trPr>
        <w:tc>
          <w:tcPr>
            <w:tcW w:w="2050" w:type="dxa"/>
            <w:vAlign w:val="center"/>
          </w:tcPr>
          <w:p w:rsidR="00E52BC8" w:rsidRPr="00835668" w:rsidRDefault="00E52BC8" w:rsidP="00147E36">
            <w:pPr>
              <w:tabs>
                <w:tab w:val="left" w:pos="900"/>
              </w:tabs>
              <w:spacing w:beforeLines="30" w:before="108" w:line="360" w:lineRule="exact"/>
              <w:jc w:val="both"/>
              <w:rPr>
                <w:rFonts w:eastAsia="標楷體"/>
                <w:sz w:val="28"/>
                <w:szCs w:val="28"/>
              </w:rPr>
            </w:pPr>
            <w:r w:rsidRPr="00835668">
              <w:rPr>
                <w:rFonts w:eastAsia="標楷體"/>
                <w:sz w:val="28"/>
                <w:szCs w:val="28"/>
              </w:rPr>
              <w:t xml:space="preserve">1. </w:t>
            </w:r>
            <w:r w:rsidRPr="00835668">
              <w:rPr>
                <w:rFonts w:eastAsia="標楷體"/>
                <w:sz w:val="28"/>
                <w:szCs w:val="28"/>
              </w:rPr>
              <w:t>送件程序</w:t>
            </w:r>
          </w:p>
        </w:tc>
        <w:tc>
          <w:tcPr>
            <w:tcW w:w="7130" w:type="dxa"/>
            <w:vAlign w:val="center"/>
          </w:tcPr>
          <w:p w:rsidR="00E52BC8" w:rsidRPr="00835668" w:rsidRDefault="00E52BC8" w:rsidP="00147E36">
            <w:pPr>
              <w:tabs>
                <w:tab w:val="left" w:pos="203"/>
              </w:tabs>
              <w:spacing w:beforeLines="30" w:before="108" w:afterLines="30" w:after="108" w:line="360" w:lineRule="exact"/>
              <w:jc w:val="both"/>
              <w:rPr>
                <w:rFonts w:eastAsia="標楷體"/>
                <w:sz w:val="28"/>
                <w:szCs w:val="28"/>
              </w:rPr>
            </w:pPr>
            <w:r w:rsidRPr="00835668">
              <w:rPr>
                <w:rFonts w:eastAsia="標楷體"/>
                <w:sz w:val="28"/>
                <w:szCs w:val="28"/>
              </w:rPr>
              <w:t>經直轄市、縣（市）主管機關轉</w:t>
            </w:r>
            <w:r w:rsidRPr="00835668">
              <w:rPr>
                <w:rFonts w:eastAsia="標楷體" w:hint="eastAsia"/>
                <w:sz w:val="28"/>
                <w:szCs w:val="28"/>
              </w:rPr>
              <w:t>報</w:t>
            </w:r>
            <w:r w:rsidRPr="00835668">
              <w:rPr>
                <w:rFonts w:eastAsia="標楷體"/>
                <w:sz w:val="28"/>
                <w:szCs w:val="28"/>
              </w:rPr>
              <w:t>中央主管機關核定</w:t>
            </w:r>
            <w:r w:rsidRPr="00835668">
              <w:rPr>
                <w:rFonts w:eastAsia="標楷體" w:hint="eastAsia"/>
                <w:sz w:val="28"/>
                <w:szCs w:val="28"/>
              </w:rPr>
              <w:t>。</w:t>
            </w:r>
          </w:p>
        </w:tc>
      </w:tr>
      <w:tr w:rsidR="00E52BC8" w:rsidRPr="00835668" w:rsidTr="00147E36">
        <w:trPr>
          <w:trHeight w:val="3961"/>
        </w:trPr>
        <w:tc>
          <w:tcPr>
            <w:tcW w:w="2050" w:type="dxa"/>
            <w:vAlign w:val="center"/>
          </w:tcPr>
          <w:p w:rsidR="00E52BC8" w:rsidRPr="00835668" w:rsidRDefault="00E52BC8" w:rsidP="00147E36">
            <w:pPr>
              <w:tabs>
                <w:tab w:val="left" w:pos="900"/>
              </w:tabs>
              <w:spacing w:beforeLines="30" w:before="108" w:line="360" w:lineRule="exact"/>
              <w:jc w:val="both"/>
              <w:rPr>
                <w:rFonts w:eastAsia="標楷體"/>
                <w:sz w:val="28"/>
                <w:szCs w:val="28"/>
              </w:rPr>
            </w:pPr>
            <w:r w:rsidRPr="00835668">
              <w:rPr>
                <w:rFonts w:eastAsia="標楷體"/>
                <w:sz w:val="28"/>
                <w:szCs w:val="28"/>
              </w:rPr>
              <w:t xml:space="preserve">2. </w:t>
            </w:r>
            <w:r w:rsidRPr="00835668">
              <w:rPr>
                <w:rFonts w:eastAsia="標楷體"/>
                <w:sz w:val="28"/>
                <w:szCs w:val="28"/>
              </w:rPr>
              <w:t>審查程序及項目</w:t>
            </w:r>
          </w:p>
        </w:tc>
        <w:tc>
          <w:tcPr>
            <w:tcW w:w="7130" w:type="dxa"/>
            <w:vAlign w:val="center"/>
          </w:tcPr>
          <w:p w:rsidR="00E52BC8" w:rsidRPr="00835668" w:rsidRDefault="00E52BC8" w:rsidP="00E52BC8">
            <w:pPr>
              <w:numPr>
                <w:ilvl w:val="0"/>
                <w:numId w:val="1"/>
              </w:numPr>
              <w:spacing w:beforeLines="30" w:before="108" w:afterLines="30" w:after="108" w:line="360" w:lineRule="exact"/>
              <w:jc w:val="both"/>
              <w:rPr>
                <w:rFonts w:eastAsia="標楷體"/>
                <w:sz w:val="28"/>
                <w:szCs w:val="28"/>
              </w:rPr>
            </w:pPr>
            <w:r w:rsidRPr="00835668">
              <w:rPr>
                <w:rFonts w:eastAsia="標楷體"/>
                <w:sz w:val="28"/>
                <w:szCs w:val="28"/>
              </w:rPr>
              <w:t>程序：是否依</w:t>
            </w:r>
            <w:r w:rsidRPr="00835668">
              <w:rPr>
                <w:rFonts w:eastAsia="標楷體"/>
                <w:sz w:val="28"/>
                <w:szCs w:val="28"/>
              </w:rPr>
              <w:t xml:space="preserve">1. </w:t>
            </w:r>
            <w:r w:rsidRPr="00835668">
              <w:rPr>
                <w:rFonts w:eastAsia="標楷體" w:hint="eastAsia"/>
                <w:sz w:val="28"/>
                <w:szCs w:val="28"/>
              </w:rPr>
              <w:t>之</w:t>
            </w:r>
            <w:r w:rsidRPr="00835668">
              <w:rPr>
                <w:rFonts w:eastAsia="標楷體"/>
                <w:sz w:val="28"/>
                <w:szCs w:val="28"/>
              </w:rPr>
              <w:t>程序提報。</w:t>
            </w:r>
          </w:p>
          <w:p w:rsidR="00E52BC8" w:rsidRPr="00835668" w:rsidRDefault="00E52BC8" w:rsidP="00E52BC8">
            <w:pPr>
              <w:numPr>
                <w:ilvl w:val="0"/>
                <w:numId w:val="1"/>
              </w:numPr>
              <w:spacing w:beforeLines="30" w:before="108" w:afterLines="30" w:after="108" w:line="360" w:lineRule="exact"/>
              <w:jc w:val="both"/>
              <w:rPr>
                <w:rFonts w:eastAsia="標楷體"/>
                <w:sz w:val="28"/>
                <w:szCs w:val="28"/>
              </w:rPr>
            </w:pPr>
            <w:r w:rsidRPr="00835668">
              <w:rPr>
                <w:rFonts w:eastAsia="標楷體"/>
                <w:sz w:val="28"/>
                <w:szCs w:val="28"/>
              </w:rPr>
              <w:t>文件：裝置業務收費作業手冊，依「公用天然氣事業用戶管線設備裝置計費準則」之規定，應包含項目如</w:t>
            </w:r>
            <w:r w:rsidRPr="00835668">
              <w:rPr>
                <w:rFonts w:eastAsia="標楷體" w:hint="eastAsia"/>
                <w:sz w:val="28"/>
                <w:szCs w:val="28"/>
              </w:rPr>
              <w:t>下</w:t>
            </w:r>
            <w:r w:rsidRPr="00835668">
              <w:rPr>
                <w:rFonts w:eastAsia="標楷體"/>
                <w:sz w:val="28"/>
                <w:szCs w:val="28"/>
              </w:rPr>
              <w:t>：</w:t>
            </w:r>
          </w:p>
          <w:p w:rsidR="00E52BC8" w:rsidRPr="00835668" w:rsidRDefault="00E52BC8" w:rsidP="00E52BC8">
            <w:pPr>
              <w:numPr>
                <w:ilvl w:val="0"/>
                <w:numId w:val="2"/>
              </w:numPr>
              <w:spacing w:beforeLines="20" w:before="72" w:afterLines="20" w:after="72" w:line="360" w:lineRule="exact"/>
              <w:jc w:val="both"/>
              <w:rPr>
                <w:rFonts w:eastAsia="標楷體"/>
                <w:sz w:val="28"/>
                <w:szCs w:val="28"/>
              </w:rPr>
            </w:pPr>
            <w:r w:rsidRPr="00835668">
              <w:rPr>
                <w:rFonts w:eastAsia="標楷體" w:hint="eastAsia"/>
                <w:sz w:val="28"/>
                <w:szCs w:val="28"/>
              </w:rPr>
              <w:t>裝置業務計費項目及計算方式。</w:t>
            </w:r>
          </w:p>
          <w:p w:rsidR="00E52BC8" w:rsidRPr="00835668" w:rsidRDefault="00E52BC8" w:rsidP="00E52BC8">
            <w:pPr>
              <w:numPr>
                <w:ilvl w:val="0"/>
                <w:numId w:val="2"/>
              </w:numPr>
              <w:spacing w:beforeLines="20" w:before="72" w:afterLines="20" w:after="72" w:line="360" w:lineRule="exact"/>
              <w:jc w:val="both"/>
              <w:rPr>
                <w:rFonts w:eastAsia="標楷體"/>
                <w:sz w:val="28"/>
                <w:szCs w:val="28"/>
              </w:rPr>
            </w:pPr>
            <w:r w:rsidRPr="00835668">
              <w:rPr>
                <w:rFonts w:eastAsia="標楷體" w:hint="eastAsia"/>
                <w:sz w:val="28"/>
                <w:szCs w:val="28"/>
              </w:rPr>
              <w:t>向用戶計費之報價表單格式。</w:t>
            </w:r>
          </w:p>
          <w:p w:rsidR="00E52BC8" w:rsidRPr="00835668" w:rsidRDefault="00E52BC8" w:rsidP="00E52BC8">
            <w:pPr>
              <w:numPr>
                <w:ilvl w:val="0"/>
                <w:numId w:val="2"/>
              </w:numPr>
              <w:spacing w:beforeLines="20" w:before="72" w:afterLines="20" w:after="72" w:line="360" w:lineRule="exact"/>
              <w:jc w:val="both"/>
              <w:rPr>
                <w:rFonts w:eastAsia="標楷體"/>
                <w:sz w:val="28"/>
                <w:szCs w:val="28"/>
              </w:rPr>
            </w:pPr>
            <w:r w:rsidRPr="00835668">
              <w:rPr>
                <w:rFonts w:eastAsia="標楷體" w:hint="eastAsia"/>
                <w:sz w:val="28"/>
                <w:szCs w:val="28"/>
              </w:rPr>
              <w:t>裝置業務計費與成本調節表。</w:t>
            </w:r>
          </w:p>
          <w:p w:rsidR="00E52BC8" w:rsidRPr="00835668" w:rsidRDefault="00E52BC8" w:rsidP="00E52BC8">
            <w:pPr>
              <w:numPr>
                <w:ilvl w:val="0"/>
                <w:numId w:val="2"/>
              </w:numPr>
              <w:spacing w:beforeLines="20" w:before="72" w:afterLines="20" w:after="72" w:line="360" w:lineRule="exact"/>
              <w:jc w:val="both"/>
              <w:rPr>
                <w:rFonts w:eastAsia="標楷體"/>
                <w:sz w:val="28"/>
                <w:szCs w:val="28"/>
              </w:rPr>
            </w:pPr>
            <w:r w:rsidRPr="00835668">
              <w:rPr>
                <w:rFonts w:eastAsia="標楷體" w:hint="eastAsia"/>
                <w:sz w:val="28"/>
                <w:szCs w:val="28"/>
              </w:rPr>
              <w:t>其他具體之執行方法。</w:t>
            </w:r>
          </w:p>
          <w:p w:rsidR="00E52BC8" w:rsidRPr="00835668" w:rsidRDefault="00E52BC8" w:rsidP="00E52BC8">
            <w:pPr>
              <w:numPr>
                <w:ilvl w:val="0"/>
                <w:numId w:val="1"/>
              </w:numPr>
              <w:spacing w:beforeLines="30" w:before="108" w:afterLines="30" w:after="108" w:line="360" w:lineRule="exact"/>
              <w:jc w:val="both"/>
              <w:rPr>
                <w:rFonts w:eastAsia="標楷體"/>
                <w:sz w:val="28"/>
                <w:szCs w:val="28"/>
              </w:rPr>
            </w:pPr>
            <w:r w:rsidRPr="00835668">
              <w:rPr>
                <w:rFonts w:eastAsia="標楷體"/>
                <w:sz w:val="28"/>
                <w:szCs w:val="28"/>
              </w:rPr>
              <w:t>內容審查：</w:t>
            </w:r>
          </w:p>
          <w:p w:rsidR="00E52BC8" w:rsidRPr="00835668" w:rsidRDefault="00E52BC8" w:rsidP="00E52BC8">
            <w:pPr>
              <w:numPr>
                <w:ilvl w:val="0"/>
                <w:numId w:val="3"/>
              </w:numPr>
              <w:spacing w:beforeLines="20" w:before="72" w:afterLines="20" w:after="72" w:line="360" w:lineRule="exact"/>
              <w:jc w:val="both"/>
              <w:rPr>
                <w:rFonts w:eastAsia="標楷體"/>
                <w:sz w:val="28"/>
                <w:szCs w:val="28"/>
              </w:rPr>
            </w:pPr>
            <w:r w:rsidRPr="00835668">
              <w:rPr>
                <w:rFonts w:eastAsia="標楷體" w:hint="eastAsia"/>
                <w:sz w:val="28"/>
                <w:szCs w:val="28"/>
              </w:rPr>
              <w:t>計費</w:t>
            </w:r>
            <w:r w:rsidRPr="00835668">
              <w:rPr>
                <w:rFonts w:eastAsia="標楷體"/>
                <w:sz w:val="28"/>
                <w:szCs w:val="28"/>
              </w:rPr>
              <w:t>項目及</w:t>
            </w:r>
            <w:r w:rsidRPr="00835668">
              <w:rPr>
                <w:rFonts w:eastAsia="標楷體" w:hint="eastAsia"/>
                <w:sz w:val="28"/>
                <w:szCs w:val="28"/>
              </w:rPr>
              <w:t>計算方式</w:t>
            </w:r>
            <w:r w:rsidRPr="00835668">
              <w:rPr>
                <w:rFonts w:eastAsia="標楷體"/>
                <w:sz w:val="28"/>
                <w:szCs w:val="28"/>
              </w:rPr>
              <w:t>是否具體</w:t>
            </w:r>
            <w:r w:rsidRPr="00835668">
              <w:rPr>
                <w:rFonts w:eastAsia="標楷體" w:hint="eastAsia"/>
                <w:sz w:val="28"/>
                <w:szCs w:val="28"/>
              </w:rPr>
              <w:t>、合理</w:t>
            </w:r>
            <w:r w:rsidRPr="00835668">
              <w:rPr>
                <w:rFonts w:eastAsia="標楷體"/>
                <w:sz w:val="28"/>
                <w:szCs w:val="28"/>
              </w:rPr>
              <w:t>。</w:t>
            </w:r>
          </w:p>
          <w:p w:rsidR="00E52BC8" w:rsidRPr="00835668" w:rsidRDefault="00E52BC8" w:rsidP="00E52BC8">
            <w:pPr>
              <w:numPr>
                <w:ilvl w:val="0"/>
                <w:numId w:val="3"/>
              </w:numPr>
              <w:spacing w:beforeLines="20" w:before="72" w:afterLines="20" w:after="72" w:line="360" w:lineRule="exact"/>
              <w:jc w:val="both"/>
              <w:rPr>
                <w:rFonts w:eastAsia="標楷體"/>
                <w:sz w:val="28"/>
                <w:szCs w:val="28"/>
              </w:rPr>
            </w:pPr>
            <w:r w:rsidRPr="00835668">
              <w:rPr>
                <w:rFonts w:eastAsia="標楷體"/>
                <w:sz w:val="28"/>
                <w:szCs w:val="28"/>
              </w:rPr>
              <w:t>是否</w:t>
            </w:r>
            <w:r w:rsidRPr="00835668">
              <w:rPr>
                <w:rFonts w:eastAsia="標楷體" w:hint="eastAsia"/>
                <w:sz w:val="28"/>
                <w:szCs w:val="28"/>
              </w:rPr>
              <w:t>含</w:t>
            </w:r>
            <w:r w:rsidRPr="00835668">
              <w:rPr>
                <w:rFonts w:eastAsia="標楷體"/>
                <w:sz w:val="28"/>
                <w:szCs w:val="28"/>
              </w:rPr>
              <w:t>有重複計費</w:t>
            </w:r>
            <w:r w:rsidRPr="00835668">
              <w:rPr>
                <w:rFonts w:eastAsia="標楷體" w:hint="eastAsia"/>
                <w:sz w:val="28"/>
                <w:szCs w:val="28"/>
              </w:rPr>
              <w:t>或不得向用戶收費之項目</w:t>
            </w:r>
            <w:r w:rsidRPr="00835668">
              <w:rPr>
                <w:rFonts w:eastAsia="標楷體"/>
                <w:sz w:val="28"/>
                <w:szCs w:val="28"/>
              </w:rPr>
              <w:t>。</w:t>
            </w:r>
          </w:p>
          <w:p w:rsidR="00E52BC8" w:rsidRPr="00835668" w:rsidRDefault="00E52BC8" w:rsidP="00E52BC8">
            <w:pPr>
              <w:numPr>
                <w:ilvl w:val="0"/>
                <w:numId w:val="3"/>
              </w:numPr>
              <w:spacing w:beforeLines="20" w:before="72" w:afterLines="20" w:after="72" w:line="360" w:lineRule="exact"/>
              <w:jc w:val="both"/>
              <w:rPr>
                <w:rFonts w:eastAsia="標楷體"/>
                <w:sz w:val="28"/>
                <w:szCs w:val="28"/>
              </w:rPr>
            </w:pPr>
            <w:r w:rsidRPr="00835668">
              <w:rPr>
                <w:rFonts w:eastAsia="標楷體"/>
                <w:sz w:val="28"/>
                <w:szCs w:val="28"/>
              </w:rPr>
              <w:t>報價單是否完整。</w:t>
            </w:r>
          </w:p>
        </w:tc>
      </w:tr>
    </w:tbl>
    <w:p w:rsidR="00E52BC8" w:rsidRPr="00835668" w:rsidRDefault="00E52BC8" w:rsidP="00E52BC8">
      <w:pPr>
        <w:tabs>
          <w:tab w:val="left" w:pos="993"/>
        </w:tabs>
        <w:spacing w:beforeLines="50" w:before="180" w:afterLines="50" w:after="180" w:line="440" w:lineRule="exact"/>
        <w:ind w:leftChars="177" w:left="425"/>
        <w:rPr>
          <w:rFonts w:eastAsia="標楷體"/>
          <w:sz w:val="28"/>
          <w:szCs w:val="28"/>
        </w:rPr>
      </w:pPr>
      <w:r w:rsidRPr="00835668">
        <w:rPr>
          <w:rFonts w:eastAsia="標楷體"/>
          <w:b/>
          <w:sz w:val="28"/>
          <w:szCs w:val="28"/>
        </w:rPr>
        <w:t>（三）</w:t>
      </w:r>
      <w:r w:rsidRPr="00835668">
        <w:rPr>
          <w:rFonts w:eastAsia="標楷體" w:hint="eastAsia"/>
          <w:b/>
          <w:sz w:val="28"/>
          <w:szCs w:val="28"/>
        </w:rPr>
        <w:t>處分態樣</w:t>
      </w:r>
      <w:r w:rsidRPr="00835668">
        <w:rPr>
          <w:rFonts w:eastAsia="標楷體"/>
          <w:b/>
          <w:sz w:val="28"/>
          <w:szCs w:val="28"/>
        </w:rPr>
        <w:t>：</w:t>
      </w:r>
    </w:p>
    <w:tbl>
      <w:tblPr>
        <w:tblW w:w="91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0"/>
        <w:gridCol w:w="7130"/>
      </w:tblGrid>
      <w:tr w:rsidR="00E52BC8" w:rsidRPr="00835668" w:rsidTr="00147E36">
        <w:trPr>
          <w:trHeight w:val="1325"/>
        </w:trPr>
        <w:tc>
          <w:tcPr>
            <w:tcW w:w="2050" w:type="dxa"/>
            <w:vAlign w:val="center"/>
          </w:tcPr>
          <w:p w:rsidR="00E52BC8" w:rsidRPr="00835668" w:rsidRDefault="00E52BC8" w:rsidP="00E52BC8">
            <w:pPr>
              <w:pStyle w:val="a3"/>
              <w:numPr>
                <w:ilvl w:val="0"/>
                <w:numId w:val="6"/>
              </w:numPr>
              <w:tabs>
                <w:tab w:val="left" w:pos="900"/>
              </w:tabs>
              <w:spacing w:line="360" w:lineRule="exact"/>
              <w:ind w:leftChars="0" w:left="482" w:hanging="482"/>
              <w:jc w:val="both"/>
              <w:rPr>
                <w:rFonts w:eastAsia="標楷體"/>
                <w:sz w:val="28"/>
                <w:szCs w:val="28"/>
              </w:rPr>
            </w:pPr>
            <w:r w:rsidRPr="00835668">
              <w:rPr>
                <w:rFonts w:eastAsia="標楷體" w:hint="eastAsia"/>
                <w:sz w:val="28"/>
                <w:szCs w:val="28"/>
              </w:rPr>
              <w:t>檢</w:t>
            </w:r>
            <w:r w:rsidRPr="00835668">
              <w:rPr>
                <w:rFonts w:eastAsia="標楷體"/>
                <w:sz w:val="28"/>
                <w:szCs w:val="28"/>
              </w:rPr>
              <w:t>還補正</w:t>
            </w:r>
          </w:p>
        </w:tc>
        <w:tc>
          <w:tcPr>
            <w:tcW w:w="7130" w:type="dxa"/>
            <w:vAlign w:val="center"/>
          </w:tcPr>
          <w:p w:rsidR="00E52BC8" w:rsidRPr="00835668" w:rsidRDefault="00E52BC8" w:rsidP="00147E36">
            <w:pPr>
              <w:spacing w:line="360" w:lineRule="exact"/>
              <w:jc w:val="both"/>
              <w:rPr>
                <w:rFonts w:eastAsia="標楷體"/>
                <w:sz w:val="28"/>
                <w:szCs w:val="28"/>
              </w:rPr>
            </w:pPr>
            <w:r w:rsidRPr="00835668">
              <w:rPr>
                <w:rFonts w:eastAsia="標楷體"/>
                <w:sz w:val="28"/>
                <w:szCs w:val="28"/>
              </w:rPr>
              <w:t>經審查，其內容</w:t>
            </w:r>
            <w:r w:rsidRPr="00835668">
              <w:rPr>
                <w:rFonts w:eastAsia="標楷體" w:hint="eastAsia"/>
                <w:sz w:val="28"/>
                <w:szCs w:val="28"/>
              </w:rPr>
              <w:t>有欠缺或未符規定者</w:t>
            </w:r>
            <w:r w:rsidRPr="00835668">
              <w:rPr>
                <w:rFonts w:eastAsia="標楷體"/>
                <w:sz w:val="28"/>
                <w:szCs w:val="28"/>
              </w:rPr>
              <w:t>，</w:t>
            </w:r>
            <w:r w:rsidRPr="00835668">
              <w:rPr>
                <w:rFonts w:eastAsia="標楷體" w:hint="eastAsia"/>
                <w:sz w:val="28"/>
                <w:szCs w:val="28"/>
              </w:rPr>
              <w:t>限期於能源局發文日起二十一日內</w:t>
            </w:r>
            <w:r w:rsidRPr="00835668">
              <w:rPr>
                <w:rFonts w:eastAsia="標楷體"/>
                <w:sz w:val="28"/>
                <w:szCs w:val="28"/>
              </w:rPr>
              <w:t>補正</w:t>
            </w:r>
            <w:r w:rsidRPr="00835668">
              <w:rPr>
                <w:rFonts w:eastAsia="標楷體" w:hint="eastAsia"/>
                <w:sz w:val="28"/>
                <w:szCs w:val="28"/>
              </w:rPr>
              <w:t>。</w:t>
            </w:r>
          </w:p>
        </w:tc>
      </w:tr>
      <w:tr w:rsidR="00E52BC8" w:rsidRPr="00835668" w:rsidTr="00147E36">
        <w:trPr>
          <w:trHeight w:val="4520"/>
        </w:trPr>
        <w:tc>
          <w:tcPr>
            <w:tcW w:w="2050" w:type="dxa"/>
            <w:vAlign w:val="center"/>
          </w:tcPr>
          <w:p w:rsidR="00E52BC8" w:rsidRPr="00835668" w:rsidRDefault="00E52BC8" w:rsidP="00E52BC8">
            <w:pPr>
              <w:pStyle w:val="a3"/>
              <w:numPr>
                <w:ilvl w:val="0"/>
                <w:numId w:val="6"/>
              </w:numPr>
              <w:tabs>
                <w:tab w:val="left" w:pos="900"/>
              </w:tabs>
              <w:spacing w:line="360" w:lineRule="exact"/>
              <w:ind w:leftChars="0" w:left="482" w:hanging="482"/>
              <w:jc w:val="both"/>
              <w:rPr>
                <w:rFonts w:eastAsia="標楷體"/>
                <w:sz w:val="28"/>
                <w:szCs w:val="28"/>
              </w:rPr>
            </w:pPr>
            <w:r w:rsidRPr="00835668">
              <w:rPr>
                <w:rFonts w:eastAsia="標楷體"/>
                <w:sz w:val="28"/>
                <w:szCs w:val="28"/>
              </w:rPr>
              <w:t>核定實施</w:t>
            </w:r>
          </w:p>
        </w:tc>
        <w:tc>
          <w:tcPr>
            <w:tcW w:w="7130" w:type="dxa"/>
            <w:vAlign w:val="center"/>
          </w:tcPr>
          <w:p w:rsidR="00E52BC8" w:rsidRPr="00835668" w:rsidRDefault="00E52BC8" w:rsidP="00147E36">
            <w:pPr>
              <w:tabs>
                <w:tab w:val="left" w:pos="993"/>
              </w:tabs>
              <w:spacing w:line="400" w:lineRule="exact"/>
              <w:jc w:val="both"/>
              <w:rPr>
                <w:rFonts w:eastAsia="標楷體"/>
                <w:sz w:val="28"/>
                <w:szCs w:val="28"/>
              </w:rPr>
            </w:pPr>
            <w:r w:rsidRPr="00835668">
              <w:rPr>
                <w:rFonts w:eastAsia="標楷體"/>
                <w:sz w:val="28"/>
                <w:szCs w:val="28"/>
              </w:rPr>
              <w:t>經審查，</w:t>
            </w:r>
            <w:r w:rsidRPr="00835668">
              <w:rPr>
                <w:rFonts w:eastAsia="標楷體" w:hint="eastAsia"/>
                <w:sz w:val="28"/>
                <w:szCs w:val="28"/>
              </w:rPr>
              <w:t>其內容</w:t>
            </w:r>
            <w:r w:rsidRPr="00835668">
              <w:rPr>
                <w:rFonts w:eastAsia="標楷體"/>
                <w:sz w:val="28"/>
                <w:szCs w:val="28"/>
              </w:rPr>
              <w:t>合理可行，</w:t>
            </w:r>
            <w:r w:rsidRPr="00835668">
              <w:rPr>
                <w:rFonts w:eastAsia="標楷體" w:hint="eastAsia"/>
                <w:sz w:val="28"/>
                <w:szCs w:val="28"/>
              </w:rPr>
              <w:t>即核定</w:t>
            </w:r>
            <w:r w:rsidRPr="00835668">
              <w:rPr>
                <w:rFonts w:eastAsia="標楷體"/>
                <w:sz w:val="28"/>
                <w:szCs w:val="28"/>
              </w:rPr>
              <w:t>辦理，並附核定後手冊，副知直轄市、縣（市）政府，惟核定函應同時說明如下：</w:t>
            </w:r>
            <w:r w:rsidRPr="00835668">
              <w:rPr>
                <w:rFonts w:eastAsia="標楷體"/>
                <w:sz w:val="28"/>
                <w:szCs w:val="28"/>
              </w:rPr>
              <w:t xml:space="preserve"> </w:t>
            </w:r>
          </w:p>
          <w:p w:rsidR="00E52BC8" w:rsidRPr="00835668" w:rsidRDefault="00E52BC8" w:rsidP="00E52BC8">
            <w:pPr>
              <w:numPr>
                <w:ilvl w:val="0"/>
                <w:numId w:val="5"/>
              </w:numPr>
              <w:spacing w:line="360" w:lineRule="exact"/>
              <w:ind w:left="480"/>
              <w:jc w:val="both"/>
              <w:rPr>
                <w:rFonts w:eastAsia="標楷體"/>
                <w:sz w:val="28"/>
                <w:szCs w:val="28"/>
              </w:rPr>
            </w:pPr>
            <w:r w:rsidRPr="00835668">
              <w:rPr>
                <w:rFonts w:eastAsia="標楷體" w:hint="eastAsia"/>
                <w:sz w:val="28"/>
                <w:szCs w:val="28"/>
              </w:rPr>
              <w:t>事業應公告其裝置業務計費項目之主要材料、工資及其他費用金額。</w:t>
            </w:r>
          </w:p>
          <w:p w:rsidR="00E52BC8" w:rsidRPr="00835668" w:rsidRDefault="00E52BC8" w:rsidP="00E52BC8">
            <w:pPr>
              <w:numPr>
                <w:ilvl w:val="0"/>
                <w:numId w:val="5"/>
              </w:numPr>
              <w:spacing w:line="360" w:lineRule="exact"/>
              <w:ind w:left="480"/>
              <w:jc w:val="both"/>
              <w:rPr>
                <w:rFonts w:eastAsia="標楷體"/>
                <w:sz w:val="28"/>
                <w:szCs w:val="28"/>
              </w:rPr>
            </w:pPr>
            <w:r w:rsidRPr="00835668">
              <w:rPr>
                <w:rFonts w:eastAsia="標楷體" w:hint="eastAsia"/>
                <w:sz w:val="28"/>
                <w:szCs w:val="28"/>
              </w:rPr>
              <w:t>事業之組織、業務及營運事項遇有變更，而有修正手冊之必要者，應報經直轄市、縣（市）主管機關轉請中央主管機關核定後實施。</w:t>
            </w:r>
          </w:p>
          <w:p w:rsidR="00E52BC8" w:rsidRPr="00835668" w:rsidRDefault="00E52BC8" w:rsidP="00E52BC8">
            <w:pPr>
              <w:numPr>
                <w:ilvl w:val="0"/>
                <w:numId w:val="5"/>
              </w:numPr>
              <w:spacing w:line="360" w:lineRule="exact"/>
              <w:ind w:left="480"/>
              <w:jc w:val="both"/>
              <w:rPr>
                <w:rFonts w:eastAsia="標楷體"/>
                <w:sz w:val="28"/>
                <w:szCs w:val="28"/>
              </w:rPr>
            </w:pPr>
            <w:r w:rsidRPr="00835668">
              <w:rPr>
                <w:rFonts w:eastAsia="標楷體" w:hint="eastAsia"/>
                <w:sz w:val="28"/>
                <w:szCs w:val="28"/>
              </w:rPr>
              <w:t>事業有下列情形之一者，中央主管機關得要求事業限期降低計費項目金額：</w:t>
            </w:r>
          </w:p>
          <w:p w:rsidR="00E52BC8" w:rsidRPr="00835668" w:rsidRDefault="00E52BC8" w:rsidP="00E52BC8">
            <w:pPr>
              <w:numPr>
                <w:ilvl w:val="0"/>
                <w:numId w:val="4"/>
              </w:numPr>
              <w:tabs>
                <w:tab w:val="left" w:pos="993"/>
              </w:tabs>
              <w:spacing w:line="400" w:lineRule="exact"/>
              <w:jc w:val="both"/>
              <w:rPr>
                <w:rFonts w:eastAsia="標楷體"/>
                <w:sz w:val="28"/>
                <w:szCs w:val="28"/>
              </w:rPr>
            </w:pPr>
            <w:r w:rsidRPr="00835668">
              <w:rPr>
                <w:rFonts w:eastAsia="標楷體" w:hint="eastAsia"/>
                <w:sz w:val="28"/>
                <w:szCs w:val="28"/>
              </w:rPr>
              <w:t>裝置業務部門之年度利潤率顯著高於同業水準。</w:t>
            </w:r>
          </w:p>
          <w:p w:rsidR="00E52BC8" w:rsidRPr="00835668" w:rsidRDefault="00E52BC8" w:rsidP="00E52BC8">
            <w:pPr>
              <w:numPr>
                <w:ilvl w:val="0"/>
                <w:numId w:val="4"/>
              </w:numPr>
              <w:tabs>
                <w:tab w:val="left" w:pos="993"/>
              </w:tabs>
              <w:spacing w:line="400" w:lineRule="exact"/>
              <w:jc w:val="both"/>
              <w:rPr>
                <w:rFonts w:eastAsia="標楷體"/>
                <w:sz w:val="28"/>
                <w:szCs w:val="28"/>
              </w:rPr>
            </w:pPr>
            <w:r w:rsidRPr="00835668">
              <w:rPr>
                <w:rFonts w:eastAsia="標楷體" w:hint="eastAsia"/>
                <w:sz w:val="28"/>
                <w:szCs w:val="28"/>
              </w:rPr>
              <w:t>計費項目之金額顯著高於市場行情。</w:t>
            </w:r>
          </w:p>
        </w:tc>
      </w:tr>
      <w:tr w:rsidR="00E52BC8" w:rsidRPr="00835668" w:rsidTr="00147E36">
        <w:trPr>
          <w:trHeight w:val="985"/>
        </w:trPr>
        <w:tc>
          <w:tcPr>
            <w:tcW w:w="2050" w:type="dxa"/>
            <w:vAlign w:val="center"/>
          </w:tcPr>
          <w:p w:rsidR="00E52BC8" w:rsidRPr="00835668" w:rsidRDefault="00E52BC8" w:rsidP="00E52BC8">
            <w:pPr>
              <w:pStyle w:val="a3"/>
              <w:numPr>
                <w:ilvl w:val="0"/>
                <w:numId w:val="6"/>
              </w:numPr>
              <w:tabs>
                <w:tab w:val="left" w:pos="900"/>
              </w:tabs>
              <w:spacing w:line="360" w:lineRule="exact"/>
              <w:ind w:leftChars="0" w:left="482" w:hanging="482"/>
              <w:jc w:val="both"/>
              <w:rPr>
                <w:rFonts w:eastAsia="標楷體"/>
                <w:sz w:val="28"/>
                <w:szCs w:val="28"/>
              </w:rPr>
            </w:pPr>
            <w:r w:rsidRPr="00835668">
              <w:rPr>
                <w:rFonts w:eastAsia="標楷體" w:hint="eastAsia"/>
                <w:sz w:val="28"/>
                <w:szCs w:val="28"/>
              </w:rPr>
              <w:t>否准實施</w:t>
            </w:r>
          </w:p>
        </w:tc>
        <w:tc>
          <w:tcPr>
            <w:tcW w:w="7130" w:type="dxa"/>
            <w:vAlign w:val="center"/>
          </w:tcPr>
          <w:p w:rsidR="00E52BC8" w:rsidRPr="00835668" w:rsidRDefault="00E52BC8" w:rsidP="00147E36">
            <w:pPr>
              <w:tabs>
                <w:tab w:val="left" w:pos="993"/>
              </w:tabs>
              <w:spacing w:line="400" w:lineRule="exact"/>
              <w:jc w:val="both"/>
              <w:rPr>
                <w:rFonts w:eastAsia="標楷體"/>
                <w:sz w:val="28"/>
                <w:szCs w:val="28"/>
              </w:rPr>
            </w:pPr>
            <w:r w:rsidRPr="00835668">
              <w:rPr>
                <w:rFonts w:eastAsia="標楷體" w:hint="eastAsia"/>
                <w:sz w:val="28"/>
                <w:szCs w:val="28"/>
              </w:rPr>
              <w:t>經限期補正，逾期未依規定補正者，否准實施。</w:t>
            </w:r>
          </w:p>
        </w:tc>
      </w:tr>
    </w:tbl>
    <w:p w:rsidR="003A0A67" w:rsidRDefault="00E52BC8">
      <w:r w:rsidRPr="00835668">
        <w:rPr>
          <w:b/>
          <w:noProof/>
        </w:rPr>
        <w:lastRenderedPageBreak/>
        <w:drawing>
          <wp:inline distT="0" distB="0" distL="0" distR="0" wp14:anchorId="26DF385E" wp14:editId="5C8240CB">
            <wp:extent cx="6120130" cy="8858885"/>
            <wp:effectExtent l="0" t="0" r="0" b="0"/>
            <wp:docPr id="684" name="圖片 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5 公用天然氣事業修正計費手冊之審查程序.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20130" cy="8858885"/>
                    </a:xfrm>
                    <a:prstGeom prst="rect">
                      <a:avLst/>
                    </a:prstGeom>
                  </pic:spPr>
                </pic:pic>
              </a:graphicData>
            </a:graphic>
          </wp:inline>
        </w:drawing>
      </w:r>
      <w:bookmarkStart w:id="1" w:name="_GoBack"/>
      <w:bookmarkEnd w:id="1"/>
    </w:p>
    <w:sectPr w:rsidR="003A0A67" w:rsidSect="00E52BC8">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6"/>
      </w:rPr>
      <w:id w:val="1771960842"/>
      <w:docPartObj>
        <w:docPartGallery w:val="Page Numbers (Bottom of Page)"/>
        <w:docPartUnique/>
      </w:docPartObj>
    </w:sdtPr>
    <w:sdtEndPr>
      <w:rPr>
        <w:rStyle w:val="a6"/>
      </w:rPr>
    </w:sdtEndPr>
    <w:sdtContent>
      <w:p w:rsidR="008A1EDD" w:rsidRDefault="00E52BC8" w:rsidP="00A87C3B">
        <w:pPr>
          <w:pStyle w:val="a4"/>
          <w:framePr w:wrap="none" w:vAnchor="text" w:hAnchor="margin" w:xAlign="center" w:y="1"/>
          <w:rPr>
            <w:rStyle w:val="a6"/>
          </w:rPr>
        </w:pPr>
        <w:r>
          <w:rPr>
            <w:rStyle w:val="a6"/>
          </w:rPr>
          <w:fldChar w:fldCharType="begin"/>
        </w:r>
        <w:r>
          <w:rPr>
            <w:rStyle w:val="a6"/>
          </w:rPr>
          <w:instrText xml:space="preserve"> PAGE </w:instrText>
        </w:r>
        <w:r>
          <w:rPr>
            <w:rStyle w:val="a6"/>
          </w:rPr>
          <w:fldChar w:fldCharType="separate"/>
        </w:r>
        <w:r>
          <w:rPr>
            <w:rStyle w:val="a6"/>
            <w:noProof/>
          </w:rPr>
          <w:t>45</w:t>
        </w:r>
        <w:r>
          <w:rPr>
            <w:rStyle w:val="a6"/>
          </w:rPr>
          <w:fldChar w:fldCharType="end"/>
        </w:r>
      </w:p>
    </w:sdtContent>
  </w:sdt>
  <w:p w:rsidR="008A1EDD" w:rsidRDefault="00E52BC8">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EDD" w:rsidRDefault="00E52BC8" w:rsidP="00A87C3B">
    <w:pPr>
      <w:pStyle w:val="a4"/>
      <w:framePr w:wrap="none"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8A1EDD" w:rsidRDefault="00E52BC8">
    <w:pPr>
      <w:pStyle w:val="a4"/>
      <w:jc w:val="center"/>
    </w:pPr>
  </w:p>
  <w:p w:rsidR="008A1EDD" w:rsidRDefault="00E52BC8"/>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476E9E"/>
    <w:multiLevelType w:val="hybridMultilevel"/>
    <w:tmpl w:val="36AA9D40"/>
    <w:lvl w:ilvl="0" w:tplc="4F6EB780">
      <w:start w:val="1"/>
      <w:numFmt w:val="upperLetter"/>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CB86FB6"/>
    <w:multiLevelType w:val="hybridMultilevel"/>
    <w:tmpl w:val="1620370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1FC80060"/>
    <w:multiLevelType w:val="hybridMultilevel"/>
    <w:tmpl w:val="1B76E0D2"/>
    <w:lvl w:ilvl="0" w:tplc="04090011">
      <w:start w:val="1"/>
      <w:numFmt w:val="upperLetter"/>
      <w:lvlText w:val="%1."/>
      <w:lvlJc w:val="left"/>
      <w:pPr>
        <w:ind w:left="960" w:hanging="480"/>
      </w:pPr>
      <w:rPr>
        <w:rFonts w:cs="Times New Roman"/>
      </w:rPr>
    </w:lvl>
    <w:lvl w:ilvl="1" w:tplc="04090019" w:tentative="1">
      <w:start w:val="1"/>
      <w:numFmt w:val="ideographTraditional"/>
      <w:lvlText w:val="%2、"/>
      <w:lvlJc w:val="left"/>
      <w:pPr>
        <w:ind w:left="1440" w:hanging="480"/>
      </w:pPr>
      <w:rPr>
        <w:rFonts w:cs="Times New Roman"/>
      </w:rPr>
    </w:lvl>
    <w:lvl w:ilvl="2" w:tplc="0409001B" w:tentative="1">
      <w:start w:val="1"/>
      <w:numFmt w:val="lowerRoman"/>
      <w:lvlText w:val="%3."/>
      <w:lvlJc w:val="right"/>
      <w:pPr>
        <w:ind w:left="1920" w:hanging="480"/>
      </w:pPr>
      <w:rPr>
        <w:rFonts w:cs="Times New Roman"/>
      </w:rPr>
    </w:lvl>
    <w:lvl w:ilvl="3" w:tplc="0409000F" w:tentative="1">
      <w:start w:val="1"/>
      <w:numFmt w:val="decimal"/>
      <w:lvlText w:val="%4."/>
      <w:lvlJc w:val="left"/>
      <w:pPr>
        <w:ind w:left="2400" w:hanging="480"/>
      </w:pPr>
      <w:rPr>
        <w:rFonts w:cs="Times New Roman"/>
      </w:rPr>
    </w:lvl>
    <w:lvl w:ilvl="4" w:tplc="04090019" w:tentative="1">
      <w:start w:val="1"/>
      <w:numFmt w:val="ideographTraditional"/>
      <w:lvlText w:val="%5、"/>
      <w:lvlJc w:val="left"/>
      <w:pPr>
        <w:ind w:left="2880" w:hanging="480"/>
      </w:pPr>
      <w:rPr>
        <w:rFonts w:cs="Times New Roman"/>
      </w:rPr>
    </w:lvl>
    <w:lvl w:ilvl="5" w:tplc="0409001B" w:tentative="1">
      <w:start w:val="1"/>
      <w:numFmt w:val="lowerRoman"/>
      <w:lvlText w:val="%6."/>
      <w:lvlJc w:val="right"/>
      <w:pPr>
        <w:ind w:left="3360" w:hanging="480"/>
      </w:pPr>
      <w:rPr>
        <w:rFonts w:cs="Times New Roman"/>
      </w:rPr>
    </w:lvl>
    <w:lvl w:ilvl="6" w:tplc="0409000F" w:tentative="1">
      <w:start w:val="1"/>
      <w:numFmt w:val="decimal"/>
      <w:lvlText w:val="%7."/>
      <w:lvlJc w:val="left"/>
      <w:pPr>
        <w:ind w:left="3840" w:hanging="480"/>
      </w:pPr>
      <w:rPr>
        <w:rFonts w:cs="Times New Roman"/>
      </w:rPr>
    </w:lvl>
    <w:lvl w:ilvl="7" w:tplc="04090019" w:tentative="1">
      <w:start w:val="1"/>
      <w:numFmt w:val="ideographTraditional"/>
      <w:lvlText w:val="%8、"/>
      <w:lvlJc w:val="left"/>
      <w:pPr>
        <w:ind w:left="4320" w:hanging="480"/>
      </w:pPr>
      <w:rPr>
        <w:rFonts w:cs="Times New Roman"/>
      </w:rPr>
    </w:lvl>
    <w:lvl w:ilvl="8" w:tplc="0409001B" w:tentative="1">
      <w:start w:val="1"/>
      <w:numFmt w:val="lowerRoman"/>
      <w:lvlText w:val="%9."/>
      <w:lvlJc w:val="right"/>
      <w:pPr>
        <w:ind w:left="4800" w:hanging="480"/>
      </w:pPr>
      <w:rPr>
        <w:rFonts w:cs="Times New Roman"/>
      </w:rPr>
    </w:lvl>
  </w:abstractNum>
  <w:abstractNum w:abstractNumId="3">
    <w:nsid w:val="245B7D1F"/>
    <w:multiLevelType w:val="hybridMultilevel"/>
    <w:tmpl w:val="B204EC7A"/>
    <w:lvl w:ilvl="0" w:tplc="F80C6BDC">
      <w:start w:val="1"/>
      <w:numFmt w:val="decimal"/>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30CD688D"/>
    <w:multiLevelType w:val="hybridMultilevel"/>
    <w:tmpl w:val="B204EC7A"/>
    <w:lvl w:ilvl="0" w:tplc="F80C6BDC">
      <w:start w:val="1"/>
      <w:numFmt w:val="decimal"/>
      <w:lvlText w:val="(%1)"/>
      <w:lvlJc w:val="left"/>
      <w:pPr>
        <w:ind w:left="763"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31F9581C"/>
    <w:multiLevelType w:val="hybridMultilevel"/>
    <w:tmpl w:val="5ECACB9A"/>
    <w:lvl w:ilvl="0" w:tplc="82C2E516">
      <w:start w:val="1"/>
      <w:numFmt w:val="upperLetter"/>
      <w:lvlText w:val="%1."/>
      <w:lvlJc w:val="left"/>
      <w:pPr>
        <w:ind w:left="960" w:hanging="480"/>
      </w:pPr>
      <w:rPr>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2"/>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2BC8"/>
    <w:rsid w:val="003A0A67"/>
    <w:rsid w:val="00E52B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BC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BC8"/>
    <w:pPr>
      <w:ind w:leftChars="200" w:left="480"/>
    </w:pPr>
  </w:style>
  <w:style w:type="paragraph" w:styleId="a4">
    <w:name w:val="footer"/>
    <w:basedOn w:val="a"/>
    <w:link w:val="a5"/>
    <w:uiPriority w:val="99"/>
    <w:rsid w:val="00E52BC8"/>
    <w:pPr>
      <w:tabs>
        <w:tab w:val="center" w:pos="4153"/>
        <w:tab w:val="right" w:pos="8306"/>
      </w:tabs>
      <w:snapToGrid w:val="0"/>
    </w:pPr>
    <w:rPr>
      <w:sz w:val="20"/>
      <w:szCs w:val="20"/>
    </w:rPr>
  </w:style>
  <w:style w:type="character" w:customStyle="1" w:styleId="a5">
    <w:name w:val="頁尾 字元"/>
    <w:basedOn w:val="a0"/>
    <w:link w:val="a4"/>
    <w:uiPriority w:val="99"/>
    <w:rsid w:val="00E52BC8"/>
    <w:rPr>
      <w:rFonts w:ascii="Times New Roman" w:eastAsia="新細明體" w:hAnsi="Times New Roman" w:cs="Times New Roman"/>
      <w:sz w:val="20"/>
      <w:szCs w:val="20"/>
    </w:rPr>
  </w:style>
  <w:style w:type="character" w:styleId="a6">
    <w:name w:val="page number"/>
    <w:uiPriority w:val="99"/>
    <w:semiHidden/>
    <w:rsid w:val="00E52BC8"/>
    <w:rPr>
      <w:rFonts w:cs="Times New Roman"/>
    </w:rPr>
  </w:style>
  <w:style w:type="paragraph" w:customStyle="1" w:styleId="SOP">
    <w:name w:val="SOP標題"/>
    <w:basedOn w:val="a"/>
    <w:uiPriority w:val="99"/>
    <w:rsid w:val="00E52BC8"/>
    <w:pPr>
      <w:jc w:val="center"/>
    </w:pPr>
    <w:rPr>
      <w:rFonts w:ascii="標楷體" w:eastAsia="標楷體" w:hAnsi="標楷體"/>
      <w:b/>
      <w:sz w:val="72"/>
      <w:szCs w:val="72"/>
    </w:rPr>
  </w:style>
  <w:style w:type="paragraph" w:styleId="a7">
    <w:name w:val="Balloon Text"/>
    <w:basedOn w:val="a"/>
    <w:link w:val="a8"/>
    <w:uiPriority w:val="99"/>
    <w:semiHidden/>
    <w:unhideWhenUsed/>
    <w:rsid w:val="00E52BC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52B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2BC8"/>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2BC8"/>
    <w:pPr>
      <w:ind w:leftChars="200" w:left="480"/>
    </w:pPr>
  </w:style>
  <w:style w:type="paragraph" w:styleId="a4">
    <w:name w:val="footer"/>
    <w:basedOn w:val="a"/>
    <w:link w:val="a5"/>
    <w:uiPriority w:val="99"/>
    <w:rsid w:val="00E52BC8"/>
    <w:pPr>
      <w:tabs>
        <w:tab w:val="center" w:pos="4153"/>
        <w:tab w:val="right" w:pos="8306"/>
      </w:tabs>
      <w:snapToGrid w:val="0"/>
    </w:pPr>
    <w:rPr>
      <w:sz w:val="20"/>
      <w:szCs w:val="20"/>
    </w:rPr>
  </w:style>
  <w:style w:type="character" w:customStyle="1" w:styleId="a5">
    <w:name w:val="頁尾 字元"/>
    <w:basedOn w:val="a0"/>
    <w:link w:val="a4"/>
    <w:uiPriority w:val="99"/>
    <w:rsid w:val="00E52BC8"/>
    <w:rPr>
      <w:rFonts w:ascii="Times New Roman" w:eastAsia="新細明體" w:hAnsi="Times New Roman" w:cs="Times New Roman"/>
      <w:sz w:val="20"/>
      <w:szCs w:val="20"/>
    </w:rPr>
  </w:style>
  <w:style w:type="character" w:styleId="a6">
    <w:name w:val="page number"/>
    <w:uiPriority w:val="99"/>
    <w:semiHidden/>
    <w:rsid w:val="00E52BC8"/>
    <w:rPr>
      <w:rFonts w:cs="Times New Roman"/>
    </w:rPr>
  </w:style>
  <w:style w:type="paragraph" w:customStyle="1" w:styleId="SOP">
    <w:name w:val="SOP標題"/>
    <w:basedOn w:val="a"/>
    <w:uiPriority w:val="99"/>
    <w:rsid w:val="00E52BC8"/>
    <w:pPr>
      <w:jc w:val="center"/>
    </w:pPr>
    <w:rPr>
      <w:rFonts w:ascii="標楷體" w:eastAsia="標楷體" w:hAnsi="標楷體"/>
      <w:b/>
      <w:sz w:val="72"/>
      <w:szCs w:val="72"/>
    </w:rPr>
  </w:style>
  <w:style w:type="paragraph" w:styleId="a7">
    <w:name w:val="Balloon Text"/>
    <w:basedOn w:val="a"/>
    <w:link w:val="a8"/>
    <w:uiPriority w:val="99"/>
    <w:semiHidden/>
    <w:unhideWhenUsed/>
    <w:rsid w:val="00E52BC8"/>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E52B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140</Words>
  <Characters>801</Characters>
  <Application>Microsoft Office Word</Application>
  <DocSecurity>0</DocSecurity>
  <Lines>6</Lines>
  <Paragraphs>1</Paragraphs>
  <ScaleCrop>false</ScaleCrop>
  <Company>MOEABOE</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boe</dc:creator>
  <cp:lastModifiedBy>boe</cp:lastModifiedBy>
  <cp:revision>1</cp:revision>
  <dcterms:created xsi:type="dcterms:W3CDTF">2019-10-31T03:56:00Z</dcterms:created>
  <dcterms:modified xsi:type="dcterms:W3CDTF">2019-10-31T03:56:00Z</dcterms:modified>
</cp:coreProperties>
</file>