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C68" w:rsidRPr="00835668" w:rsidRDefault="00105C68" w:rsidP="00105C68">
      <w:pPr>
        <w:widowControl/>
        <w:rPr>
          <w:rFonts w:eastAsia="標楷體"/>
          <w:b/>
          <w:sz w:val="32"/>
          <w:szCs w:val="32"/>
        </w:rPr>
      </w:pPr>
      <w:r>
        <w:rPr>
          <w:noProof/>
          <w:sz w:val="28"/>
          <w:szCs w:val="28"/>
        </w:rPr>
        <w:br w:type="page"/>
      </w:r>
      <w:r w:rsidRPr="00835668">
        <w:rPr>
          <w:b/>
          <w:noProof/>
          <w:sz w:val="36"/>
          <w:szCs w:val="36"/>
          <w:u w:val="single"/>
        </w:rPr>
        <mc:AlternateContent>
          <mc:Choice Requires="wps">
            <w:drawing>
              <wp:anchor distT="0" distB="0" distL="114300" distR="114300" simplePos="0" relativeHeight="251659264" behindDoc="0" locked="0" layoutInCell="1" allowOverlap="1" wp14:anchorId="4B1EE234" wp14:editId="7AD8C47F">
                <wp:simplePos x="0" y="0"/>
                <wp:positionH relativeFrom="margin">
                  <wp:align>center</wp:align>
                </wp:positionH>
                <wp:positionV relativeFrom="margin">
                  <wp:align>center</wp:align>
                </wp:positionV>
                <wp:extent cx="5975350" cy="1806575"/>
                <wp:effectExtent l="0" t="0" r="6350" b="3175"/>
                <wp:wrapSquare wrapText="bothSides"/>
                <wp:docPr id="687" name="圓角矩形 687"/>
                <wp:cNvGraphicFramePr/>
                <a:graphic xmlns:a="http://schemas.openxmlformats.org/drawingml/2006/main">
                  <a:graphicData uri="http://schemas.microsoft.com/office/word/2010/wordprocessingShape">
                    <wps:wsp>
                      <wps:cNvSpPr/>
                      <wps:spPr>
                        <a:xfrm>
                          <a:off x="0" y="0"/>
                          <a:ext cx="5975350" cy="18065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C68" w:rsidRPr="00F92CC3" w:rsidRDefault="00105C68" w:rsidP="00105C68">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0" w:name="_GoBack"/>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十三、公用天然氣事業</w:t>
                            </w:r>
                            <w:r>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變更實收資本額之核准</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687" o:spid="_x0000_s1026" style="position:absolute;margin-left:0;margin-top:0;width:470.5pt;height:14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" fillcolor="#4f81bd [3204]" stroked="f" strokeweight="2pt">
                <v:textbox>
                  <w:txbxContent>
                    <w:p w:rsidR="00105C68" w:rsidRPr="00F92CC3" w:rsidRDefault="00105C68" w:rsidP="00105C68">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十三、公用天然氣事業</w:t>
                      </w:r>
                      <w:r>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br/>
                      </w:r>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變更實收資本額之核准</w:t>
                      </w:r>
                    </w:p>
                  </w:txbxContent>
                </v:textbox>
                <w10:wrap type="square" anchorx="margin" anchory="margin"/>
              </v:roundrect>
            </w:pict>
          </mc:Fallback>
        </mc:AlternateContent>
      </w:r>
    </w:p>
    <w:p w:rsidR="00105C68" w:rsidRPr="00835668" w:rsidRDefault="00105C68" w:rsidP="00105C68">
      <w:pPr>
        <w:pStyle w:val="16"/>
        <w:rPr>
          <w:u w:val="none"/>
        </w:rPr>
      </w:pPr>
      <w:bookmarkStart w:id="1" w:name="_Toc500756581"/>
      <w:r w:rsidRPr="00835668">
        <w:rPr>
          <w:rFonts w:hint="eastAsia"/>
          <w:u w:val="none"/>
        </w:rPr>
        <w:lastRenderedPageBreak/>
        <w:t>「公用天然氣事業</w:t>
      </w:r>
      <w:r w:rsidRPr="00835668">
        <w:rPr>
          <w:rFonts w:hint="eastAsia"/>
          <w:bCs/>
          <w:u w:val="none"/>
        </w:rPr>
        <w:t>變更實收資本額計畫書</w:t>
      </w:r>
      <w:r w:rsidRPr="00835668">
        <w:rPr>
          <w:rFonts w:hint="eastAsia"/>
          <w:u w:val="none"/>
        </w:rPr>
        <w:t>」之審查作業程序</w:t>
      </w:r>
      <w:bookmarkEnd w:id="1"/>
    </w:p>
    <w:p w:rsidR="00105C68" w:rsidRPr="00835668" w:rsidRDefault="00105C68" w:rsidP="00105C68">
      <w:pPr>
        <w:tabs>
          <w:tab w:val="left" w:pos="180"/>
        </w:tabs>
        <w:spacing w:beforeLines="50" w:before="180" w:line="480" w:lineRule="exact"/>
        <w:ind w:left="561" w:hangingChars="200" w:hanging="561"/>
        <w:rPr>
          <w:rFonts w:eastAsia="標楷體"/>
          <w:b/>
          <w:sz w:val="28"/>
          <w:szCs w:val="28"/>
        </w:rPr>
      </w:pPr>
      <w:r w:rsidRPr="00835668">
        <w:rPr>
          <w:rFonts w:eastAsia="標楷體" w:hint="eastAsia"/>
          <w:b/>
          <w:sz w:val="28"/>
          <w:szCs w:val="28"/>
        </w:rPr>
        <w:t>（一）法源依據：</w:t>
      </w:r>
    </w:p>
    <w:p w:rsidR="00105C68" w:rsidRPr="00835668" w:rsidRDefault="00105C68" w:rsidP="00105C68">
      <w:pPr>
        <w:pStyle w:val="a3"/>
        <w:tabs>
          <w:tab w:val="left" w:pos="993"/>
        </w:tabs>
        <w:spacing w:beforeLines="50" w:before="180" w:afterLines="50" w:after="180" w:line="440" w:lineRule="exact"/>
        <w:ind w:leftChars="0"/>
        <w:rPr>
          <w:rFonts w:eastAsia="標楷體"/>
          <w:sz w:val="28"/>
          <w:szCs w:val="28"/>
        </w:rPr>
      </w:pPr>
      <w:r w:rsidRPr="00835668">
        <w:rPr>
          <w:rFonts w:eastAsia="標楷體" w:hint="eastAsia"/>
          <w:sz w:val="28"/>
          <w:szCs w:val="28"/>
        </w:rPr>
        <w:t>「天然氣事業法」第四十一條第一項及第二項：</w:t>
      </w:r>
    </w:p>
    <w:p w:rsidR="00105C68" w:rsidRPr="00835668" w:rsidRDefault="00105C68" w:rsidP="00105C68">
      <w:pPr>
        <w:pStyle w:val="a3"/>
        <w:tabs>
          <w:tab w:val="left" w:pos="993"/>
        </w:tabs>
        <w:spacing w:beforeLines="50" w:before="180" w:afterLines="50" w:after="180" w:line="440" w:lineRule="exact"/>
        <w:ind w:leftChars="0"/>
        <w:rPr>
          <w:rFonts w:eastAsia="標楷體"/>
          <w:sz w:val="28"/>
          <w:szCs w:val="28"/>
        </w:rPr>
      </w:pPr>
      <w:r w:rsidRPr="00835668">
        <w:rPr>
          <w:rFonts w:eastAsia="標楷體" w:hint="eastAsia"/>
          <w:sz w:val="28"/>
          <w:szCs w:val="28"/>
        </w:rPr>
        <w:t>公用天然氣事業實收資本額不得低於現有輸儲設備原始取得成本百分之三十五；其不足者，應於事實發生後三</w:t>
      </w:r>
      <w:proofErr w:type="gramStart"/>
      <w:r w:rsidRPr="00835668">
        <w:rPr>
          <w:rFonts w:eastAsia="標楷體" w:hint="eastAsia"/>
          <w:sz w:val="28"/>
          <w:szCs w:val="28"/>
        </w:rPr>
        <w:t>個</w:t>
      </w:r>
      <w:proofErr w:type="gramEnd"/>
      <w:r w:rsidRPr="00835668">
        <w:rPr>
          <w:rFonts w:eastAsia="標楷體" w:hint="eastAsia"/>
          <w:sz w:val="28"/>
          <w:szCs w:val="28"/>
        </w:rPr>
        <w:t>月內辦理增加實收資本額。</w:t>
      </w:r>
    </w:p>
    <w:p w:rsidR="00105C68" w:rsidRPr="00835668" w:rsidRDefault="00105C68" w:rsidP="00105C68">
      <w:pPr>
        <w:pStyle w:val="a3"/>
        <w:tabs>
          <w:tab w:val="left" w:pos="993"/>
        </w:tabs>
        <w:spacing w:beforeLines="50" w:before="180" w:afterLines="50" w:after="180" w:line="440" w:lineRule="exact"/>
        <w:ind w:leftChars="0"/>
        <w:rPr>
          <w:rFonts w:eastAsia="標楷體"/>
          <w:sz w:val="28"/>
          <w:szCs w:val="28"/>
        </w:rPr>
      </w:pPr>
      <w:r w:rsidRPr="00835668">
        <w:rPr>
          <w:rFonts w:eastAsia="標楷體" w:hint="eastAsia"/>
          <w:sz w:val="28"/>
          <w:szCs w:val="28"/>
        </w:rPr>
        <w:t>公用天然氣事業變更實收資本額前，應提出計畫書，報經直轄市、縣（市）主管機關轉請中央主管機關核准，並依相關法令辦理資本變更事宜。</w:t>
      </w:r>
    </w:p>
    <w:p w:rsidR="00105C68" w:rsidRPr="00835668" w:rsidRDefault="00105C68" w:rsidP="00105C68">
      <w:pPr>
        <w:tabs>
          <w:tab w:val="left" w:pos="180"/>
        </w:tabs>
        <w:spacing w:beforeLines="50" w:before="180" w:afterLines="50" w:after="180" w:line="400" w:lineRule="exact"/>
        <w:rPr>
          <w:rFonts w:eastAsia="標楷體"/>
          <w:b/>
          <w:sz w:val="28"/>
          <w:szCs w:val="28"/>
        </w:rPr>
      </w:pPr>
      <w:r w:rsidRPr="00835668">
        <w:rPr>
          <w:rFonts w:eastAsia="標楷體" w:hint="eastAsia"/>
          <w:b/>
          <w:sz w:val="28"/>
          <w:szCs w:val="28"/>
        </w:rPr>
        <w:t>（二）審查方式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950"/>
      </w:tblGrid>
      <w:tr w:rsidR="00105C68" w:rsidRPr="00835668" w:rsidTr="00147E36">
        <w:trPr>
          <w:trHeight w:val="1118"/>
        </w:trPr>
        <w:tc>
          <w:tcPr>
            <w:tcW w:w="2230" w:type="dxa"/>
            <w:vAlign w:val="center"/>
          </w:tcPr>
          <w:p w:rsidR="00105C68" w:rsidRPr="00835668" w:rsidRDefault="00105C68" w:rsidP="00105C68">
            <w:pPr>
              <w:pStyle w:val="a3"/>
              <w:numPr>
                <w:ilvl w:val="0"/>
                <w:numId w:val="5"/>
              </w:numPr>
              <w:tabs>
                <w:tab w:val="left" w:pos="900"/>
              </w:tabs>
              <w:spacing w:beforeLines="30" w:before="108" w:line="360" w:lineRule="exact"/>
              <w:ind w:leftChars="0"/>
              <w:jc w:val="both"/>
              <w:rPr>
                <w:rFonts w:eastAsia="標楷體"/>
                <w:sz w:val="28"/>
                <w:szCs w:val="28"/>
              </w:rPr>
            </w:pPr>
            <w:r w:rsidRPr="00835668">
              <w:rPr>
                <w:rFonts w:eastAsia="標楷體" w:hint="eastAsia"/>
                <w:sz w:val="28"/>
                <w:szCs w:val="28"/>
              </w:rPr>
              <w:t>程序</w:t>
            </w:r>
          </w:p>
        </w:tc>
        <w:tc>
          <w:tcPr>
            <w:tcW w:w="6950" w:type="dxa"/>
            <w:vAlign w:val="center"/>
          </w:tcPr>
          <w:p w:rsidR="00105C68" w:rsidRPr="00835668" w:rsidRDefault="00105C68" w:rsidP="00147E36">
            <w:pPr>
              <w:spacing w:beforeLines="30" w:before="108" w:afterLines="30" w:after="108" w:line="360" w:lineRule="exact"/>
              <w:jc w:val="both"/>
              <w:rPr>
                <w:rFonts w:eastAsia="標楷體"/>
                <w:sz w:val="28"/>
                <w:szCs w:val="28"/>
              </w:rPr>
            </w:pPr>
            <w:r w:rsidRPr="00835668">
              <w:rPr>
                <w:rFonts w:eastAsia="標楷體" w:hint="eastAsia"/>
                <w:sz w:val="28"/>
                <w:szCs w:val="28"/>
              </w:rPr>
              <w:t>公用天然氣事業提出變更實收資本額計畫書，是否經直轄市、縣（市）主管機關轉報中央主管機關。</w:t>
            </w:r>
          </w:p>
        </w:tc>
      </w:tr>
      <w:tr w:rsidR="00105C68" w:rsidRPr="00835668" w:rsidTr="00147E36">
        <w:trPr>
          <w:trHeight w:val="8208"/>
        </w:trPr>
        <w:tc>
          <w:tcPr>
            <w:tcW w:w="2230" w:type="dxa"/>
            <w:vAlign w:val="center"/>
          </w:tcPr>
          <w:p w:rsidR="00105C68" w:rsidRPr="00835668" w:rsidRDefault="00105C68" w:rsidP="00105C68">
            <w:pPr>
              <w:pStyle w:val="a3"/>
              <w:numPr>
                <w:ilvl w:val="0"/>
                <w:numId w:val="5"/>
              </w:numPr>
              <w:tabs>
                <w:tab w:val="left" w:pos="900"/>
              </w:tabs>
              <w:spacing w:beforeLines="30" w:before="108" w:line="360" w:lineRule="exact"/>
              <w:ind w:leftChars="0"/>
              <w:jc w:val="both"/>
              <w:rPr>
                <w:rFonts w:eastAsia="標楷體"/>
                <w:sz w:val="28"/>
                <w:szCs w:val="28"/>
              </w:rPr>
            </w:pPr>
            <w:r w:rsidRPr="00835668">
              <w:rPr>
                <w:rFonts w:eastAsia="標楷體" w:hint="eastAsia"/>
                <w:sz w:val="28"/>
                <w:szCs w:val="28"/>
              </w:rPr>
              <w:t>項目及內容</w:t>
            </w:r>
          </w:p>
        </w:tc>
        <w:tc>
          <w:tcPr>
            <w:tcW w:w="6950" w:type="dxa"/>
          </w:tcPr>
          <w:p w:rsidR="00105C68" w:rsidRPr="00835668" w:rsidRDefault="00105C68" w:rsidP="00105C68">
            <w:pPr>
              <w:pStyle w:val="a3"/>
              <w:numPr>
                <w:ilvl w:val="0"/>
                <w:numId w:val="6"/>
              </w:numPr>
              <w:spacing w:line="360" w:lineRule="exact"/>
              <w:ind w:leftChars="0"/>
              <w:rPr>
                <w:rFonts w:eastAsia="標楷體"/>
                <w:sz w:val="28"/>
                <w:szCs w:val="28"/>
              </w:rPr>
            </w:pPr>
            <w:r w:rsidRPr="00835668">
              <w:rPr>
                <w:rFonts w:eastAsia="標楷體" w:hint="eastAsia"/>
                <w:sz w:val="28"/>
                <w:szCs w:val="28"/>
              </w:rPr>
              <w:t>形式審查：</w:t>
            </w:r>
          </w:p>
          <w:p w:rsidR="00105C68" w:rsidRPr="00835668" w:rsidRDefault="00105C68" w:rsidP="00147E36">
            <w:pPr>
              <w:pStyle w:val="a3"/>
              <w:spacing w:line="360" w:lineRule="exact"/>
              <w:ind w:leftChars="0"/>
              <w:rPr>
                <w:rFonts w:eastAsia="標楷體"/>
                <w:sz w:val="28"/>
                <w:szCs w:val="28"/>
              </w:rPr>
            </w:pPr>
            <w:r w:rsidRPr="00835668">
              <w:rPr>
                <w:rFonts w:eastAsia="標楷體" w:hint="eastAsia"/>
                <w:sz w:val="28"/>
                <w:szCs w:val="28"/>
              </w:rPr>
              <w:t>計畫書是否符合「</w:t>
            </w:r>
            <w:hyperlink r:id="rId6" w:history="1">
              <w:r w:rsidRPr="00835668">
                <w:rPr>
                  <w:rFonts w:eastAsia="標楷體" w:hint="eastAsia"/>
                  <w:sz w:val="28"/>
                  <w:szCs w:val="28"/>
                </w:rPr>
                <w:t>公用天然氣事業變更實收資本額計畫書之格式及項目</w:t>
              </w:r>
            </w:hyperlink>
            <w:r w:rsidRPr="00835668">
              <w:rPr>
                <w:rFonts w:eastAsia="標楷體" w:hint="eastAsia"/>
                <w:sz w:val="28"/>
                <w:szCs w:val="28"/>
              </w:rPr>
              <w:t>公告」第二點規定。其格式、內容與項目如下：</w:t>
            </w:r>
          </w:p>
          <w:p w:rsidR="00105C68" w:rsidRPr="00835668" w:rsidRDefault="00105C68" w:rsidP="00105C68">
            <w:pPr>
              <w:pStyle w:val="a3"/>
              <w:numPr>
                <w:ilvl w:val="0"/>
                <w:numId w:val="1"/>
              </w:numPr>
              <w:spacing w:line="360" w:lineRule="exact"/>
              <w:ind w:leftChars="0"/>
              <w:rPr>
                <w:rFonts w:eastAsia="標楷體"/>
                <w:sz w:val="28"/>
                <w:szCs w:val="28"/>
              </w:rPr>
            </w:pPr>
            <w:r w:rsidRPr="00835668">
              <w:rPr>
                <w:rFonts w:eastAsia="標楷體" w:hint="eastAsia"/>
                <w:sz w:val="28"/>
                <w:szCs w:val="28"/>
              </w:rPr>
              <w:t>計畫書應有封面、目錄、計畫內容及封底。</w:t>
            </w:r>
          </w:p>
          <w:p w:rsidR="00105C68" w:rsidRPr="00835668" w:rsidRDefault="00105C68" w:rsidP="00105C68">
            <w:pPr>
              <w:pStyle w:val="a3"/>
              <w:numPr>
                <w:ilvl w:val="0"/>
                <w:numId w:val="1"/>
              </w:numPr>
              <w:spacing w:line="360" w:lineRule="exact"/>
              <w:ind w:leftChars="0"/>
              <w:rPr>
                <w:rFonts w:eastAsia="標楷體"/>
                <w:sz w:val="28"/>
                <w:szCs w:val="28"/>
              </w:rPr>
            </w:pPr>
            <w:r w:rsidRPr="00835668">
              <w:rPr>
                <w:rFonts w:eastAsia="標楷體" w:hint="eastAsia"/>
                <w:sz w:val="28"/>
                <w:szCs w:val="28"/>
              </w:rPr>
              <w:t>計畫內容，應包括下列項目：</w:t>
            </w:r>
          </w:p>
          <w:p w:rsidR="00105C68" w:rsidRPr="00835668" w:rsidRDefault="00105C68" w:rsidP="00105C68">
            <w:pPr>
              <w:pStyle w:val="a3"/>
              <w:numPr>
                <w:ilvl w:val="0"/>
                <w:numId w:val="2"/>
              </w:numPr>
              <w:spacing w:line="360" w:lineRule="exact"/>
              <w:ind w:leftChars="0"/>
              <w:rPr>
                <w:rFonts w:eastAsia="標楷體"/>
                <w:sz w:val="28"/>
                <w:szCs w:val="28"/>
              </w:rPr>
            </w:pPr>
            <w:r w:rsidRPr="00835668">
              <w:rPr>
                <w:rFonts w:eastAsia="標楷體" w:hint="eastAsia"/>
                <w:sz w:val="28"/>
                <w:szCs w:val="28"/>
              </w:rPr>
              <w:t>計畫目的。</w:t>
            </w:r>
          </w:p>
          <w:p w:rsidR="00105C68" w:rsidRPr="00835668" w:rsidRDefault="00105C68" w:rsidP="00105C68">
            <w:pPr>
              <w:pStyle w:val="a3"/>
              <w:numPr>
                <w:ilvl w:val="0"/>
                <w:numId w:val="2"/>
              </w:numPr>
              <w:spacing w:line="360" w:lineRule="exact"/>
              <w:ind w:leftChars="0"/>
              <w:rPr>
                <w:rFonts w:eastAsia="標楷體"/>
                <w:sz w:val="28"/>
                <w:szCs w:val="28"/>
              </w:rPr>
            </w:pPr>
            <w:r w:rsidRPr="00835668">
              <w:rPr>
                <w:rFonts w:eastAsia="標楷體" w:hint="eastAsia"/>
                <w:sz w:val="28"/>
                <w:szCs w:val="28"/>
              </w:rPr>
              <w:t>變更實收資本額方式：</w:t>
            </w:r>
          </w:p>
          <w:p w:rsidR="00105C68" w:rsidRPr="00835668" w:rsidRDefault="00105C68" w:rsidP="00105C68">
            <w:pPr>
              <w:pStyle w:val="a3"/>
              <w:numPr>
                <w:ilvl w:val="0"/>
                <w:numId w:val="3"/>
              </w:numPr>
              <w:spacing w:line="360" w:lineRule="exact"/>
              <w:ind w:leftChars="0" w:left="1735" w:hanging="295"/>
              <w:rPr>
                <w:rFonts w:eastAsia="標楷體"/>
                <w:sz w:val="28"/>
                <w:szCs w:val="28"/>
              </w:rPr>
            </w:pPr>
            <w:r w:rsidRPr="00835668">
              <w:rPr>
                <w:rFonts w:eastAsia="標楷體" w:hint="eastAsia"/>
                <w:sz w:val="28"/>
                <w:szCs w:val="28"/>
              </w:rPr>
              <w:t>增資：</w:t>
            </w:r>
          </w:p>
          <w:p w:rsidR="00105C68" w:rsidRPr="00835668" w:rsidRDefault="00105C68" w:rsidP="00105C68">
            <w:pPr>
              <w:pStyle w:val="a3"/>
              <w:numPr>
                <w:ilvl w:val="0"/>
                <w:numId w:val="7"/>
              </w:numPr>
              <w:spacing w:line="360" w:lineRule="exact"/>
              <w:ind w:leftChars="0" w:left="2160" w:hanging="141"/>
              <w:rPr>
                <w:rFonts w:eastAsia="標楷體"/>
                <w:sz w:val="28"/>
                <w:szCs w:val="28"/>
              </w:rPr>
            </w:pPr>
            <w:r w:rsidRPr="00835668">
              <w:rPr>
                <w:rFonts w:eastAsia="標楷體" w:hint="eastAsia"/>
                <w:sz w:val="28"/>
                <w:szCs w:val="28"/>
              </w:rPr>
              <w:t>盈餘轉增資。</w:t>
            </w:r>
          </w:p>
          <w:p w:rsidR="00105C68" w:rsidRPr="00835668" w:rsidRDefault="00105C68" w:rsidP="00105C68">
            <w:pPr>
              <w:pStyle w:val="a3"/>
              <w:numPr>
                <w:ilvl w:val="0"/>
                <w:numId w:val="7"/>
              </w:numPr>
              <w:spacing w:line="360" w:lineRule="exact"/>
              <w:ind w:leftChars="0" w:left="2160" w:hanging="141"/>
              <w:rPr>
                <w:rFonts w:eastAsia="標楷體"/>
                <w:sz w:val="28"/>
                <w:szCs w:val="28"/>
              </w:rPr>
            </w:pPr>
            <w:r w:rsidRPr="00835668">
              <w:rPr>
                <w:rFonts w:eastAsia="標楷體" w:hint="eastAsia"/>
                <w:sz w:val="28"/>
                <w:szCs w:val="28"/>
              </w:rPr>
              <w:t>資本公積轉增資。</w:t>
            </w:r>
          </w:p>
          <w:p w:rsidR="00105C68" w:rsidRPr="00835668" w:rsidRDefault="00105C68" w:rsidP="00105C68">
            <w:pPr>
              <w:pStyle w:val="a3"/>
              <w:numPr>
                <w:ilvl w:val="0"/>
                <w:numId w:val="7"/>
              </w:numPr>
              <w:spacing w:line="360" w:lineRule="exact"/>
              <w:ind w:leftChars="0" w:left="2160" w:hanging="141"/>
              <w:rPr>
                <w:rFonts w:eastAsia="標楷體"/>
                <w:sz w:val="28"/>
                <w:szCs w:val="28"/>
              </w:rPr>
            </w:pPr>
            <w:r w:rsidRPr="00835668">
              <w:rPr>
                <w:rFonts w:eastAsia="標楷體" w:hint="eastAsia"/>
                <w:sz w:val="28"/>
                <w:szCs w:val="28"/>
              </w:rPr>
              <w:t>現金增資。</w:t>
            </w:r>
          </w:p>
          <w:p w:rsidR="00105C68" w:rsidRPr="00835668" w:rsidRDefault="00105C68" w:rsidP="00105C68">
            <w:pPr>
              <w:pStyle w:val="a3"/>
              <w:numPr>
                <w:ilvl w:val="0"/>
                <w:numId w:val="7"/>
              </w:numPr>
              <w:spacing w:line="360" w:lineRule="exact"/>
              <w:ind w:leftChars="0" w:left="2160" w:hanging="141"/>
              <w:rPr>
                <w:rFonts w:eastAsia="標楷體"/>
                <w:sz w:val="28"/>
                <w:szCs w:val="28"/>
              </w:rPr>
            </w:pPr>
            <w:r w:rsidRPr="00835668">
              <w:rPr>
                <w:rFonts w:eastAsia="標楷體" w:hint="eastAsia"/>
                <w:sz w:val="28"/>
                <w:szCs w:val="28"/>
              </w:rPr>
              <w:t>其他。</w:t>
            </w:r>
          </w:p>
          <w:p w:rsidR="00105C68" w:rsidRPr="00835668" w:rsidRDefault="00105C68" w:rsidP="00105C68">
            <w:pPr>
              <w:pStyle w:val="a3"/>
              <w:numPr>
                <w:ilvl w:val="0"/>
                <w:numId w:val="3"/>
              </w:numPr>
              <w:spacing w:line="360" w:lineRule="exact"/>
              <w:ind w:leftChars="0" w:left="1735" w:hanging="295"/>
              <w:rPr>
                <w:rFonts w:eastAsia="標楷體"/>
                <w:sz w:val="28"/>
                <w:szCs w:val="28"/>
              </w:rPr>
            </w:pPr>
            <w:r w:rsidRPr="00835668">
              <w:rPr>
                <w:rFonts w:eastAsia="標楷體" w:hint="eastAsia"/>
                <w:sz w:val="28"/>
                <w:szCs w:val="28"/>
              </w:rPr>
              <w:t>減資：</w:t>
            </w:r>
          </w:p>
          <w:p w:rsidR="00105C68" w:rsidRPr="00835668" w:rsidRDefault="00105C68" w:rsidP="00105C68">
            <w:pPr>
              <w:pStyle w:val="a3"/>
              <w:numPr>
                <w:ilvl w:val="0"/>
                <w:numId w:val="8"/>
              </w:numPr>
              <w:spacing w:line="360" w:lineRule="exact"/>
              <w:ind w:leftChars="0" w:left="2160" w:hanging="141"/>
              <w:rPr>
                <w:rFonts w:eastAsia="標楷體"/>
                <w:sz w:val="28"/>
                <w:szCs w:val="28"/>
              </w:rPr>
            </w:pPr>
            <w:r w:rsidRPr="00835668">
              <w:rPr>
                <w:rFonts w:eastAsia="標楷體" w:hint="eastAsia"/>
                <w:sz w:val="28"/>
                <w:szCs w:val="28"/>
              </w:rPr>
              <w:t>彌補虧損。</w:t>
            </w:r>
          </w:p>
          <w:p w:rsidR="00105C68" w:rsidRPr="00835668" w:rsidRDefault="00105C68" w:rsidP="00105C68">
            <w:pPr>
              <w:pStyle w:val="a3"/>
              <w:numPr>
                <w:ilvl w:val="0"/>
                <w:numId w:val="8"/>
              </w:numPr>
              <w:spacing w:line="360" w:lineRule="exact"/>
              <w:ind w:leftChars="0" w:left="2160" w:hanging="141"/>
              <w:rPr>
                <w:rFonts w:eastAsia="標楷體"/>
                <w:sz w:val="28"/>
                <w:szCs w:val="28"/>
              </w:rPr>
            </w:pPr>
            <w:r w:rsidRPr="00835668">
              <w:rPr>
                <w:rFonts w:eastAsia="標楷體" w:hint="eastAsia"/>
                <w:sz w:val="28"/>
                <w:szCs w:val="28"/>
              </w:rPr>
              <w:t>現金減資。</w:t>
            </w:r>
          </w:p>
          <w:p w:rsidR="00105C68" w:rsidRPr="00835668" w:rsidRDefault="00105C68" w:rsidP="00105C68">
            <w:pPr>
              <w:pStyle w:val="a3"/>
              <w:numPr>
                <w:ilvl w:val="0"/>
                <w:numId w:val="8"/>
              </w:numPr>
              <w:spacing w:line="360" w:lineRule="exact"/>
              <w:ind w:leftChars="0" w:left="2160" w:hanging="141"/>
              <w:rPr>
                <w:rFonts w:eastAsia="標楷體"/>
                <w:sz w:val="28"/>
                <w:szCs w:val="28"/>
              </w:rPr>
            </w:pPr>
            <w:r w:rsidRPr="00835668">
              <w:rPr>
                <w:rFonts w:eastAsia="標楷體" w:hint="eastAsia"/>
                <w:sz w:val="28"/>
                <w:szCs w:val="28"/>
              </w:rPr>
              <w:t>其他。</w:t>
            </w:r>
          </w:p>
          <w:p w:rsidR="00105C68" w:rsidRPr="00835668" w:rsidRDefault="00105C68" w:rsidP="00105C68">
            <w:pPr>
              <w:pStyle w:val="a3"/>
              <w:numPr>
                <w:ilvl w:val="0"/>
                <w:numId w:val="2"/>
              </w:numPr>
              <w:spacing w:line="360" w:lineRule="exact"/>
              <w:ind w:leftChars="0"/>
              <w:rPr>
                <w:rFonts w:eastAsia="標楷體"/>
                <w:sz w:val="28"/>
                <w:szCs w:val="28"/>
              </w:rPr>
            </w:pPr>
            <w:r w:rsidRPr="00835668">
              <w:rPr>
                <w:rFonts w:eastAsia="標楷體" w:hint="eastAsia"/>
                <w:sz w:val="28"/>
                <w:szCs w:val="28"/>
              </w:rPr>
              <w:t>預期效益。</w:t>
            </w:r>
          </w:p>
          <w:p w:rsidR="00105C68" w:rsidRPr="00835668" w:rsidRDefault="00105C68" w:rsidP="00105C68">
            <w:pPr>
              <w:pStyle w:val="a3"/>
              <w:numPr>
                <w:ilvl w:val="0"/>
                <w:numId w:val="2"/>
              </w:numPr>
              <w:spacing w:line="360" w:lineRule="exact"/>
              <w:ind w:leftChars="0"/>
              <w:rPr>
                <w:rFonts w:eastAsia="標楷體"/>
                <w:sz w:val="28"/>
                <w:szCs w:val="28"/>
              </w:rPr>
            </w:pPr>
            <w:r w:rsidRPr="00835668">
              <w:rPr>
                <w:rFonts w:eastAsia="標楷體" w:hint="eastAsia"/>
                <w:sz w:val="28"/>
                <w:szCs w:val="28"/>
              </w:rPr>
              <w:t>預定完成日期。</w:t>
            </w:r>
          </w:p>
          <w:p w:rsidR="00105C68" w:rsidRPr="00835668" w:rsidRDefault="00105C68" w:rsidP="00105C68">
            <w:pPr>
              <w:pStyle w:val="a3"/>
              <w:numPr>
                <w:ilvl w:val="0"/>
                <w:numId w:val="6"/>
              </w:numPr>
              <w:spacing w:beforeLines="50" w:before="180" w:line="360" w:lineRule="exact"/>
              <w:ind w:leftChars="0" w:left="482" w:hanging="482"/>
              <w:rPr>
                <w:rFonts w:eastAsia="標楷體"/>
                <w:sz w:val="28"/>
                <w:szCs w:val="28"/>
              </w:rPr>
            </w:pPr>
            <w:r w:rsidRPr="00835668">
              <w:rPr>
                <w:rFonts w:eastAsia="標楷體" w:hint="eastAsia"/>
                <w:sz w:val="28"/>
                <w:szCs w:val="28"/>
              </w:rPr>
              <w:t>內容審查：</w:t>
            </w:r>
          </w:p>
          <w:p w:rsidR="00105C68" w:rsidRPr="00835668" w:rsidRDefault="00105C68" w:rsidP="00147E36">
            <w:pPr>
              <w:pStyle w:val="a3"/>
              <w:spacing w:line="360" w:lineRule="exact"/>
              <w:ind w:leftChars="0"/>
              <w:rPr>
                <w:rFonts w:eastAsia="標楷體"/>
                <w:sz w:val="28"/>
                <w:szCs w:val="28"/>
              </w:rPr>
            </w:pPr>
            <w:r w:rsidRPr="00835668">
              <w:rPr>
                <w:rFonts w:eastAsia="標楷體" w:hint="eastAsia"/>
                <w:sz w:val="28"/>
                <w:szCs w:val="28"/>
              </w:rPr>
              <w:t>應對事業有正面效益（例如可促進工安維護、增加用戶普及率、輸儲設備之投資或健全事業體質等）。</w:t>
            </w:r>
          </w:p>
        </w:tc>
      </w:tr>
    </w:tbl>
    <w:p w:rsidR="00105C68" w:rsidRPr="00835668" w:rsidRDefault="00105C68" w:rsidP="00105C68">
      <w:pPr>
        <w:tabs>
          <w:tab w:val="left" w:pos="900"/>
        </w:tabs>
        <w:spacing w:beforeLines="100" w:before="360" w:afterLines="50" w:after="180" w:line="520" w:lineRule="exact"/>
        <w:ind w:left="181"/>
        <w:rPr>
          <w:rFonts w:eastAsia="標楷體"/>
          <w:sz w:val="28"/>
          <w:szCs w:val="28"/>
        </w:rPr>
      </w:pPr>
      <w:r w:rsidRPr="00835668">
        <w:rPr>
          <w:rFonts w:eastAsia="標楷體" w:hint="eastAsia"/>
          <w:b/>
          <w:sz w:val="28"/>
          <w:szCs w:val="28"/>
        </w:rPr>
        <w:lastRenderedPageBreak/>
        <w:t>（三）處分態樣</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7310"/>
      </w:tblGrid>
      <w:tr w:rsidR="00105C68" w:rsidRPr="00835668" w:rsidTr="00147E36">
        <w:trPr>
          <w:trHeight w:val="1842"/>
        </w:trPr>
        <w:tc>
          <w:tcPr>
            <w:tcW w:w="2230" w:type="dxa"/>
            <w:vAlign w:val="center"/>
          </w:tcPr>
          <w:p w:rsidR="00105C68" w:rsidRPr="00835668" w:rsidRDefault="00105C68" w:rsidP="00105C68">
            <w:pPr>
              <w:pStyle w:val="a3"/>
              <w:numPr>
                <w:ilvl w:val="0"/>
                <w:numId w:val="4"/>
              </w:numPr>
              <w:tabs>
                <w:tab w:val="left" w:pos="900"/>
              </w:tabs>
              <w:spacing w:beforeLines="30" w:before="108" w:line="360" w:lineRule="exact"/>
              <w:ind w:leftChars="0"/>
              <w:jc w:val="both"/>
              <w:rPr>
                <w:rFonts w:eastAsia="標楷體"/>
                <w:sz w:val="28"/>
                <w:szCs w:val="28"/>
              </w:rPr>
            </w:pPr>
            <w:r w:rsidRPr="00835668">
              <w:rPr>
                <w:rFonts w:eastAsia="標楷體" w:hint="eastAsia"/>
                <w:sz w:val="28"/>
                <w:szCs w:val="28"/>
              </w:rPr>
              <w:t>檢還補正</w:t>
            </w:r>
          </w:p>
        </w:tc>
        <w:tc>
          <w:tcPr>
            <w:tcW w:w="7310" w:type="dxa"/>
            <w:vAlign w:val="center"/>
          </w:tcPr>
          <w:p w:rsidR="00105C68" w:rsidRPr="00835668" w:rsidRDefault="00105C68" w:rsidP="00147E36">
            <w:pPr>
              <w:spacing w:beforeLines="20" w:before="72" w:afterLines="20" w:after="72" w:line="360" w:lineRule="exact"/>
              <w:jc w:val="both"/>
              <w:rPr>
                <w:rFonts w:eastAsia="標楷體"/>
                <w:sz w:val="28"/>
                <w:szCs w:val="28"/>
              </w:rPr>
            </w:pPr>
            <w:r w:rsidRPr="00835668">
              <w:rPr>
                <w:rFonts w:eastAsia="標楷體" w:hint="eastAsia"/>
                <w:sz w:val="28"/>
                <w:szCs w:val="28"/>
              </w:rPr>
              <w:t>下列情形，限期事業於能源局發文日起二十一日內補正：</w:t>
            </w:r>
          </w:p>
          <w:p w:rsidR="00105C68" w:rsidRPr="00835668" w:rsidRDefault="00105C68" w:rsidP="00105C68">
            <w:pPr>
              <w:pStyle w:val="a3"/>
              <w:numPr>
                <w:ilvl w:val="0"/>
                <w:numId w:val="10"/>
              </w:numPr>
              <w:spacing w:beforeLines="20" w:before="72" w:afterLines="20" w:after="72" w:line="360" w:lineRule="exact"/>
              <w:ind w:leftChars="0"/>
              <w:jc w:val="both"/>
              <w:rPr>
                <w:rFonts w:eastAsia="標楷體"/>
                <w:sz w:val="28"/>
                <w:szCs w:val="28"/>
              </w:rPr>
            </w:pPr>
            <w:r w:rsidRPr="00835668">
              <w:rPr>
                <w:rFonts w:eastAsia="標楷體" w:hint="eastAsia"/>
                <w:sz w:val="28"/>
                <w:szCs w:val="28"/>
              </w:rPr>
              <w:t>計劃書格式不符規定者。</w:t>
            </w:r>
          </w:p>
          <w:p w:rsidR="00105C68" w:rsidRPr="00835668" w:rsidRDefault="00105C68" w:rsidP="00105C68">
            <w:pPr>
              <w:pStyle w:val="a3"/>
              <w:numPr>
                <w:ilvl w:val="0"/>
                <w:numId w:val="10"/>
              </w:numPr>
              <w:spacing w:beforeLines="20" w:before="72" w:afterLines="20" w:after="72" w:line="360" w:lineRule="exact"/>
              <w:ind w:leftChars="0"/>
              <w:jc w:val="both"/>
              <w:rPr>
                <w:rFonts w:eastAsia="標楷體"/>
                <w:sz w:val="28"/>
                <w:szCs w:val="28"/>
              </w:rPr>
            </w:pPr>
            <w:r w:rsidRPr="00835668">
              <w:rPr>
                <w:rFonts w:eastAsia="標楷體" w:hint="eastAsia"/>
                <w:sz w:val="28"/>
                <w:szCs w:val="28"/>
              </w:rPr>
              <w:t>計畫書內容或項目有欠缺者。</w:t>
            </w:r>
          </w:p>
        </w:tc>
      </w:tr>
      <w:tr w:rsidR="00105C68" w:rsidRPr="00835668" w:rsidTr="00147E36">
        <w:trPr>
          <w:trHeight w:val="1825"/>
        </w:trPr>
        <w:tc>
          <w:tcPr>
            <w:tcW w:w="2230" w:type="dxa"/>
            <w:vAlign w:val="center"/>
          </w:tcPr>
          <w:p w:rsidR="00105C68" w:rsidRPr="00835668" w:rsidRDefault="00105C68" w:rsidP="00105C68">
            <w:pPr>
              <w:pStyle w:val="a3"/>
              <w:numPr>
                <w:ilvl w:val="0"/>
                <w:numId w:val="4"/>
              </w:numPr>
              <w:tabs>
                <w:tab w:val="left" w:pos="900"/>
              </w:tabs>
              <w:spacing w:beforeLines="30" w:before="108" w:line="360" w:lineRule="exact"/>
              <w:ind w:leftChars="0"/>
              <w:jc w:val="both"/>
              <w:rPr>
                <w:rFonts w:eastAsia="標楷體"/>
                <w:sz w:val="28"/>
                <w:szCs w:val="28"/>
              </w:rPr>
            </w:pPr>
            <w:r w:rsidRPr="00835668">
              <w:rPr>
                <w:rFonts w:eastAsia="標楷體" w:hint="eastAsia"/>
                <w:sz w:val="28"/>
                <w:szCs w:val="28"/>
              </w:rPr>
              <w:t>否准辦理</w:t>
            </w:r>
          </w:p>
        </w:tc>
        <w:tc>
          <w:tcPr>
            <w:tcW w:w="7310" w:type="dxa"/>
            <w:vAlign w:val="center"/>
          </w:tcPr>
          <w:p w:rsidR="00105C68" w:rsidRPr="00835668" w:rsidRDefault="00105C68" w:rsidP="00147E36">
            <w:pPr>
              <w:spacing w:beforeLines="20" w:before="72" w:afterLines="20" w:after="72" w:line="360" w:lineRule="exact"/>
              <w:jc w:val="both"/>
              <w:rPr>
                <w:rFonts w:eastAsia="標楷體"/>
                <w:sz w:val="28"/>
                <w:szCs w:val="28"/>
              </w:rPr>
            </w:pPr>
            <w:r w:rsidRPr="00835668">
              <w:rPr>
                <w:rFonts w:eastAsia="標楷體" w:hint="eastAsia"/>
                <w:sz w:val="28"/>
                <w:szCs w:val="28"/>
              </w:rPr>
              <w:t>下列情形，予以否准：</w:t>
            </w:r>
          </w:p>
          <w:p w:rsidR="00105C68" w:rsidRPr="00835668" w:rsidRDefault="00105C68" w:rsidP="00105C68">
            <w:pPr>
              <w:pStyle w:val="a3"/>
              <w:numPr>
                <w:ilvl w:val="0"/>
                <w:numId w:val="9"/>
              </w:numPr>
              <w:spacing w:beforeLines="20" w:before="72" w:afterLines="20" w:after="72" w:line="360" w:lineRule="exact"/>
              <w:ind w:leftChars="0"/>
              <w:jc w:val="both"/>
              <w:rPr>
                <w:rFonts w:eastAsia="標楷體"/>
                <w:sz w:val="28"/>
                <w:szCs w:val="28"/>
              </w:rPr>
            </w:pPr>
            <w:r w:rsidRPr="00835668">
              <w:rPr>
                <w:rFonts w:eastAsia="標楷體" w:hint="eastAsia"/>
                <w:sz w:val="28"/>
                <w:szCs w:val="28"/>
              </w:rPr>
              <w:t>資本額之變更對事業無正面效益者。</w:t>
            </w:r>
          </w:p>
          <w:p w:rsidR="00105C68" w:rsidRPr="00835668" w:rsidRDefault="00105C68" w:rsidP="00105C68">
            <w:pPr>
              <w:pStyle w:val="a3"/>
              <w:numPr>
                <w:ilvl w:val="0"/>
                <w:numId w:val="9"/>
              </w:numPr>
              <w:spacing w:beforeLines="20" w:before="72" w:afterLines="20" w:after="72" w:line="360" w:lineRule="exact"/>
              <w:ind w:leftChars="0"/>
              <w:jc w:val="both"/>
              <w:rPr>
                <w:rFonts w:eastAsia="標楷體"/>
                <w:sz w:val="28"/>
                <w:szCs w:val="28"/>
              </w:rPr>
            </w:pPr>
            <w:r w:rsidRPr="00835668">
              <w:rPr>
                <w:rFonts w:eastAsia="標楷體" w:hint="eastAsia"/>
                <w:sz w:val="28"/>
                <w:szCs w:val="28"/>
              </w:rPr>
              <w:t>逾期未依規定補正者。</w:t>
            </w:r>
          </w:p>
        </w:tc>
      </w:tr>
      <w:tr w:rsidR="00105C68" w:rsidRPr="00835668" w:rsidTr="00147E36">
        <w:trPr>
          <w:trHeight w:val="1695"/>
        </w:trPr>
        <w:tc>
          <w:tcPr>
            <w:tcW w:w="2230" w:type="dxa"/>
            <w:vAlign w:val="center"/>
          </w:tcPr>
          <w:p w:rsidR="00105C68" w:rsidRPr="00835668" w:rsidRDefault="00105C68" w:rsidP="00105C68">
            <w:pPr>
              <w:pStyle w:val="a3"/>
              <w:numPr>
                <w:ilvl w:val="0"/>
                <w:numId w:val="4"/>
              </w:numPr>
              <w:tabs>
                <w:tab w:val="left" w:pos="900"/>
              </w:tabs>
              <w:spacing w:beforeLines="30" w:before="108" w:line="360" w:lineRule="exact"/>
              <w:ind w:leftChars="0"/>
              <w:jc w:val="both"/>
              <w:rPr>
                <w:rFonts w:eastAsia="標楷體"/>
                <w:sz w:val="28"/>
                <w:szCs w:val="28"/>
              </w:rPr>
            </w:pPr>
            <w:r w:rsidRPr="00835668">
              <w:rPr>
                <w:rFonts w:eastAsia="標楷體" w:hint="eastAsia"/>
                <w:sz w:val="28"/>
                <w:szCs w:val="28"/>
              </w:rPr>
              <w:t>核准辦理</w:t>
            </w:r>
          </w:p>
        </w:tc>
        <w:tc>
          <w:tcPr>
            <w:tcW w:w="7310" w:type="dxa"/>
            <w:vAlign w:val="center"/>
          </w:tcPr>
          <w:p w:rsidR="00105C68" w:rsidRPr="00835668" w:rsidRDefault="00105C68" w:rsidP="00147E36">
            <w:pPr>
              <w:spacing w:beforeLines="20" w:before="72" w:afterLines="20" w:after="72" w:line="360" w:lineRule="exact"/>
              <w:jc w:val="both"/>
              <w:rPr>
                <w:rFonts w:eastAsia="標楷體"/>
                <w:sz w:val="28"/>
                <w:szCs w:val="28"/>
              </w:rPr>
            </w:pPr>
            <w:r w:rsidRPr="00835668">
              <w:rPr>
                <w:rFonts w:eastAsia="標楷體" w:hint="eastAsia"/>
                <w:sz w:val="28"/>
                <w:szCs w:val="28"/>
              </w:rPr>
              <w:t>審查通過者，准予辦理實收資本額變更。</w:t>
            </w:r>
          </w:p>
        </w:tc>
      </w:tr>
    </w:tbl>
    <w:p w:rsidR="00105C68" w:rsidRPr="00835668" w:rsidRDefault="00105C68" w:rsidP="00105C68">
      <w:pPr>
        <w:rPr>
          <w:sz w:val="28"/>
          <w:szCs w:val="28"/>
        </w:rPr>
      </w:pPr>
    </w:p>
    <w:p w:rsidR="00105C68" w:rsidRPr="00835668" w:rsidRDefault="00105C68" w:rsidP="00105C68">
      <w:pPr>
        <w:rPr>
          <w:rFonts w:eastAsia="標楷體"/>
          <w:sz w:val="28"/>
          <w:szCs w:val="28"/>
        </w:rPr>
      </w:pPr>
    </w:p>
    <w:p w:rsidR="00105C68" w:rsidRPr="00835668" w:rsidRDefault="00105C68" w:rsidP="00105C68">
      <w:pPr>
        <w:widowControl/>
      </w:pPr>
      <w:r w:rsidRPr="00835668">
        <w:br w:type="page"/>
      </w:r>
      <w:r w:rsidRPr="00835668">
        <w:rPr>
          <w:noProof/>
        </w:rPr>
        <w:lastRenderedPageBreak/>
        <w:drawing>
          <wp:inline distT="0" distB="0" distL="0" distR="0" wp14:anchorId="4C21258A" wp14:editId="2EAA0616">
            <wp:extent cx="6120130" cy="8896985"/>
            <wp:effectExtent l="0" t="0" r="0" b="0"/>
            <wp:docPr id="698" name="圖片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 變更實收資本額.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896985"/>
                    </a:xfrm>
                    <a:prstGeom prst="rect">
                      <a:avLst/>
                    </a:prstGeom>
                  </pic:spPr>
                </pic:pic>
              </a:graphicData>
            </a:graphic>
          </wp:inline>
        </w:drawing>
      </w:r>
    </w:p>
    <w:p w:rsidR="003A0A67" w:rsidRDefault="003A0A67"/>
    <w:sectPr w:rsidR="003A0A67" w:rsidSect="00105C6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2090"/>
    <w:multiLevelType w:val="hybridMultilevel"/>
    <w:tmpl w:val="8D22E394"/>
    <w:lvl w:ilvl="0" w:tplc="FA3676F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D311578"/>
    <w:multiLevelType w:val="hybridMultilevel"/>
    <w:tmpl w:val="C1B600B6"/>
    <w:lvl w:ilvl="0" w:tplc="B6161150">
      <w:start w:val="1"/>
      <w:numFmt w:val="upperLetter"/>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274008B1"/>
    <w:multiLevelType w:val="hybridMultilevel"/>
    <w:tmpl w:val="630C424C"/>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EEC0C51"/>
    <w:multiLevelType w:val="hybridMultilevel"/>
    <w:tmpl w:val="4BD48B4A"/>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30F402D"/>
    <w:multiLevelType w:val="hybridMultilevel"/>
    <w:tmpl w:val="D3AE4B30"/>
    <w:lvl w:ilvl="0" w:tplc="04090011">
      <w:start w:val="1"/>
      <w:numFmt w:val="upperLetter"/>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5E9D0A07"/>
    <w:multiLevelType w:val="hybridMultilevel"/>
    <w:tmpl w:val="0694CB78"/>
    <w:lvl w:ilvl="0" w:tplc="0409001B">
      <w:start w:val="1"/>
      <w:numFmt w:val="lowerRoman"/>
      <w:lvlText w:val="%1."/>
      <w:lvlJc w:val="right"/>
      <w:pPr>
        <w:ind w:left="2499" w:hanging="480"/>
      </w:pPr>
      <w:rPr>
        <w:rFonts w:cs="Times New Roman"/>
      </w:rPr>
    </w:lvl>
    <w:lvl w:ilvl="1" w:tplc="04090019" w:tentative="1">
      <w:start w:val="1"/>
      <w:numFmt w:val="ideographTraditional"/>
      <w:lvlText w:val="%2、"/>
      <w:lvlJc w:val="left"/>
      <w:pPr>
        <w:ind w:left="2979" w:hanging="480"/>
      </w:pPr>
      <w:rPr>
        <w:rFonts w:cs="Times New Roman"/>
      </w:rPr>
    </w:lvl>
    <w:lvl w:ilvl="2" w:tplc="0409001B" w:tentative="1">
      <w:start w:val="1"/>
      <w:numFmt w:val="lowerRoman"/>
      <w:lvlText w:val="%3."/>
      <w:lvlJc w:val="right"/>
      <w:pPr>
        <w:ind w:left="3459" w:hanging="480"/>
      </w:pPr>
      <w:rPr>
        <w:rFonts w:cs="Times New Roman"/>
      </w:rPr>
    </w:lvl>
    <w:lvl w:ilvl="3" w:tplc="0409000F" w:tentative="1">
      <w:start w:val="1"/>
      <w:numFmt w:val="decimal"/>
      <w:lvlText w:val="%4."/>
      <w:lvlJc w:val="left"/>
      <w:pPr>
        <w:ind w:left="3939" w:hanging="480"/>
      </w:pPr>
      <w:rPr>
        <w:rFonts w:cs="Times New Roman"/>
      </w:rPr>
    </w:lvl>
    <w:lvl w:ilvl="4" w:tplc="04090019" w:tentative="1">
      <w:start w:val="1"/>
      <w:numFmt w:val="ideographTraditional"/>
      <w:lvlText w:val="%5、"/>
      <w:lvlJc w:val="left"/>
      <w:pPr>
        <w:ind w:left="4419" w:hanging="480"/>
      </w:pPr>
      <w:rPr>
        <w:rFonts w:cs="Times New Roman"/>
      </w:rPr>
    </w:lvl>
    <w:lvl w:ilvl="5" w:tplc="0409001B" w:tentative="1">
      <w:start w:val="1"/>
      <w:numFmt w:val="lowerRoman"/>
      <w:lvlText w:val="%6."/>
      <w:lvlJc w:val="right"/>
      <w:pPr>
        <w:ind w:left="4899" w:hanging="480"/>
      </w:pPr>
      <w:rPr>
        <w:rFonts w:cs="Times New Roman"/>
      </w:rPr>
    </w:lvl>
    <w:lvl w:ilvl="6" w:tplc="0409000F" w:tentative="1">
      <w:start w:val="1"/>
      <w:numFmt w:val="decimal"/>
      <w:lvlText w:val="%7."/>
      <w:lvlJc w:val="left"/>
      <w:pPr>
        <w:ind w:left="5379" w:hanging="480"/>
      </w:pPr>
      <w:rPr>
        <w:rFonts w:cs="Times New Roman"/>
      </w:rPr>
    </w:lvl>
    <w:lvl w:ilvl="7" w:tplc="04090019" w:tentative="1">
      <w:start w:val="1"/>
      <w:numFmt w:val="ideographTraditional"/>
      <w:lvlText w:val="%8、"/>
      <w:lvlJc w:val="left"/>
      <w:pPr>
        <w:ind w:left="5859" w:hanging="480"/>
      </w:pPr>
      <w:rPr>
        <w:rFonts w:cs="Times New Roman"/>
      </w:rPr>
    </w:lvl>
    <w:lvl w:ilvl="8" w:tplc="0409001B" w:tentative="1">
      <w:start w:val="1"/>
      <w:numFmt w:val="lowerRoman"/>
      <w:lvlText w:val="%9."/>
      <w:lvlJc w:val="right"/>
      <w:pPr>
        <w:ind w:left="6339" w:hanging="480"/>
      </w:pPr>
      <w:rPr>
        <w:rFonts w:cs="Times New Roman"/>
      </w:rPr>
    </w:lvl>
  </w:abstractNum>
  <w:abstractNum w:abstractNumId="6">
    <w:nsid w:val="62687310"/>
    <w:multiLevelType w:val="hybridMultilevel"/>
    <w:tmpl w:val="32D20A1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564673B"/>
    <w:multiLevelType w:val="hybridMultilevel"/>
    <w:tmpl w:val="0694CB78"/>
    <w:lvl w:ilvl="0" w:tplc="0409001B">
      <w:start w:val="1"/>
      <w:numFmt w:val="lowerRoman"/>
      <w:lvlText w:val="%1."/>
      <w:lvlJc w:val="right"/>
      <w:pPr>
        <w:ind w:left="2499" w:hanging="480"/>
      </w:pPr>
      <w:rPr>
        <w:rFonts w:cs="Times New Roman"/>
      </w:rPr>
    </w:lvl>
    <w:lvl w:ilvl="1" w:tplc="04090019" w:tentative="1">
      <w:start w:val="1"/>
      <w:numFmt w:val="ideographTraditional"/>
      <w:lvlText w:val="%2、"/>
      <w:lvlJc w:val="left"/>
      <w:pPr>
        <w:ind w:left="2979" w:hanging="480"/>
      </w:pPr>
      <w:rPr>
        <w:rFonts w:cs="Times New Roman"/>
      </w:rPr>
    </w:lvl>
    <w:lvl w:ilvl="2" w:tplc="0409001B" w:tentative="1">
      <w:start w:val="1"/>
      <w:numFmt w:val="lowerRoman"/>
      <w:lvlText w:val="%3."/>
      <w:lvlJc w:val="right"/>
      <w:pPr>
        <w:ind w:left="3459" w:hanging="480"/>
      </w:pPr>
      <w:rPr>
        <w:rFonts w:cs="Times New Roman"/>
      </w:rPr>
    </w:lvl>
    <w:lvl w:ilvl="3" w:tplc="0409000F" w:tentative="1">
      <w:start w:val="1"/>
      <w:numFmt w:val="decimal"/>
      <w:lvlText w:val="%4."/>
      <w:lvlJc w:val="left"/>
      <w:pPr>
        <w:ind w:left="3939" w:hanging="480"/>
      </w:pPr>
      <w:rPr>
        <w:rFonts w:cs="Times New Roman"/>
      </w:rPr>
    </w:lvl>
    <w:lvl w:ilvl="4" w:tplc="04090019" w:tentative="1">
      <w:start w:val="1"/>
      <w:numFmt w:val="ideographTraditional"/>
      <w:lvlText w:val="%5、"/>
      <w:lvlJc w:val="left"/>
      <w:pPr>
        <w:ind w:left="4419" w:hanging="480"/>
      </w:pPr>
      <w:rPr>
        <w:rFonts w:cs="Times New Roman"/>
      </w:rPr>
    </w:lvl>
    <w:lvl w:ilvl="5" w:tplc="0409001B" w:tentative="1">
      <w:start w:val="1"/>
      <w:numFmt w:val="lowerRoman"/>
      <w:lvlText w:val="%6."/>
      <w:lvlJc w:val="right"/>
      <w:pPr>
        <w:ind w:left="4899" w:hanging="480"/>
      </w:pPr>
      <w:rPr>
        <w:rFonts w:cs="Times New Roman"/>
      </w:rPr>
    </w:lvl>
    <w:lvl w:ilvl="6" w:tplc="0409000F" w:tentative="1">
      <w:start w:val="1"/>
      <w:numFmt w:val="decimal"/>
      <w:lvlText w:val="%7."/>
      <w:lvlJc w:val="left"/>
      <w:pPr>
        <w:ind w:left="5379" w:hanging="480"/>
      </w:pPr>
      <w:rPr>
        <w:rFonts w:cs="Times New Roman"/>
      </w:rPr>
    </w:lvl>
    <w:lvl w:ilvl="7" w:tplc="04090019" w:tentative="1">
      <w:start w:val="1"/>
      <w:numFmt w:val="ideographTraditional"/>
      <w:lvlText w:val="%8、"/>
      <w:lvlJc w:val="left"/>
      <w:pPr>
        <w:ind w:left="5859" w:hanging="480"/>
      </w:pPr>
      <w:rPr>
        <w:rFonts w:cs="Times New Roman"/>
      </w:rPr>
    </w:lvl>
    <w:lvl w:ilvl="8" w:tplc="0409001B" w:tentative="1">
      <w:start w:val="1"/>
      <w:numFmt w:val="lowerRoman"/>
      <w:lvlText w:val="%9."/>
      <w:lvlJc w:val="right"/>
      <w:pPr>
        <w:ind w:left="6339" w:hanging="480"/>
      </w:pPr>
      <w:rPr>
        <w:rFonts w:cs="Times New Roman"/>
      </w:rPr>
    </w:lvl>
  </w:abstractNum>
  <w:abstractNum w:abstractNumId="8">
    <w:nsid w:val="6ACD0BFC"/>
    <w:multiLevelType w:val="hybridMultilevel"/>
    <w:tmpl w:val="903CC72E"/>
    <w:lvl w:ilvl="0" w:tplc="04090013">
      <w:start w:val="1"/>
      <w:numFmt w:val="upperRoman"/>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9">
    <w:nsid w:val="78954F7B"/>
    <w:multiLevelType w:val="hybridMultilevel"/>
    <w:tmpl w:val="BB52DCEE"/>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8"/>
  </w:num>
  <w:num w:numId="4">
    <w:abstractNumId w:val="0"/>
  </w:num>
  <w:num w:numId="5">
    <w:abstractNumId w:val="6"/>
  </w:num>
  <w:num w:numId="6">
    <w:abstractNumId w:val="2"/>
  </w:num>
  <w:num w:numId="7">
    <w:abstractNumId w:val="7"/>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68"/>
    <w:rsid w:val="00105C68"/>
    <w:rsid w:val="003A0A67"/>
    <w:rsid w:val="00433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C68"/>
    <w:pPr>
      <w:ind w:leftChars="200" w:left="480"/>
    </w:pPr>
  </w:style>
  <w:style w:type="paragraph" w:customStyle="1" w:styleId="16">
    <w:name w:val="粗體16"/>
    <w:basedOn w:val="a"/>
    <w:uiPriority w:val="99"/>
    <w:semiHidden/>
    <w:rsid w:val="00105C68"/>
    <w:pPr>
      <w:spacing w:line="520" w:lineRule="exact"/>
    </w:pPr>
    <w:rPr>
      <w:rFonts w:eastAsia="標楷體"/>
      <w:b/>
      <w:sz w:val="32"/>
      <w:szCs w:val="32"/>
      <w:u w:val="single"/>
    </w:rPr>
  </w:style>
  <w:style w:type="paragraph" w:customStyle="1" w:styleId="SOP">
    <w:name w:val="SOP標題"/>
    <w:basedOn w:val="a"/>
    <w:uiPriority w:val="99"/>
    <w:rsid w:val="00105C68"/>
    <w:pPr>
      <w:jc w:val="center"/>
    </w:pPr>
    <w:rPr>
      <w:rFonts w:ascii="標楷體" w:eastAsia="標楷體" w:hAnsi="標楷體"/>
      <w:b/>
      <w:sz w:val="72"/>
      <w:szCs w:val="72"/>
    </w:rPr>
  </w:style>
  <w:style w:type="paragraph" w:styleId="a4">
    <w:name w:val="Balloon Text"/>
    <w:basedOn w:val="a"/>
    <w:link w:val="a5"/>
    <w:uiPriority w:val="99"/>
    <w:semiHidden/>
    <w:unhideWhenUsed/>
    <w:rsid w:val="00105C6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05C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6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C68"/>
    <w:pPr>
      <w:ind w:leftChars="200" w:left="480"/>
    </w:pPr>
  </w:style>
  <w:style w:type="paragraph" w:customStyle="1" w:styleId="16">
    <w:name w:val="粗體16"/>
    <w:basedOn w:val="a"/>
    <w:uiPriority w:val="99"/>
    <w:semiHidden/>
    <w:rsid w:val="00105C68"/>
    <w:pPr>
      <w:spacing w:line="520" w:lineRule="exact"/>
    </w:pPr>
    <w:rPr>
      <w:rFonts w:eastAsia="標楷體"/>
      <w:b/>
      <w:sz w:val="32"/>
      <w:szCs w:val="32"/>
      <w:u w:val="single"/>
    </w:rPr>
  </w:style>
  <w:style w:type="paragraph" w:customStyle="1" w:styleId="SOP">
    <w:name w:val="SOP標題"/>
    <w:basedOn w:val="a"/>
    <w:uiPriority w:val="99"/>
    <w:rsid w:val="00105C68"/>
    <w:pPr>
      <w:jc w:val="center"/>
    </w:pPr>
    <w:rPr>
      <w:rFonts w:ascii="標楷體" w:eastAsia="標楷體" w:hAnsi="標楷體"/>
      <w:b/>
      <w:sz w:val="72"/>
      <w:szCs w:val="72"/>
    </w:rPr>
  </w:style>
  <w:style w:type="paragraph" w:styleId="a4">
    <w:name w:val="Balloon Text"/>
    <w:basedOn w:val="a"/>
    <w:link w:val="a5"/>
    <w:uiPriority w:val="99"/>
    <w:semiHidden/>
    <w:unhideWhenUsed/>
    <w:rsid w:val="00105C6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05C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eaboe.gov.tw/opengovinfo/Laws/gas/LGasMain.aspx?PageId=l_ngas_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Words>
  <Characters>607</Characters>
  <Application>Microsoft Office Word</Application>
  <DocSecurity>0</DocSecurity>
  <Lines>5</Lines>
  <Paragraphs>1</Paragraphs>
  <ScaleCrop>false</ScaleCrop>
  <Company>MOEABOE</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c:creator>
  <cp:lastModifiedBy>賴亞婷</cp:lastModifiedBy>
  <cp:revision>2</cp:revision>
  <dcterms:created xsi:type="dcterms:W3CDTF">2019-10-31T06:01:00Z</dcterms:created>
  <dcterms:modified xsi:type="dcterms:W3CDTF">2019-10-31T06:01:00Z</dcterms:modified>
</cp:coreProperties>
</file>